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74EA1">
      <w:pPr>
        <w:pStyle w:val="7"/>
        <w:ind w:left="0" w:leftChars="0" w:firstLine="0" w:firstLineChars="0"/>
        <w:jc w:val="center"/>
        <w:rPr>
          <w:rFonts w:hint="eastAsia" w:ascii="宋体" w:hAnsi="宋体" w:eastAsia="宋体" w:cs="宋体"/>
          <w:b/>
          <w:bCs/>
          <w:color w:val="auto"/>
          <w:sz w:val="28"/>
          <w:szCs w:val="16"/>
          <w:highlight w:val="none"/>
          <w:lang w:val="en-US" w:eastAsia="zh-CN"/>
        </w:rPr>
      </w:pPr>
      <w:r>
        <w:rPr>
          <w:rFonts w:hint="eastAsia" w:ascii="宋体" w:hAnsi="宋体" w:eastAsia="宋体" w:cs="宋体"/>
          <w:b/>
          <w:bCs/>
          <w:color w:val="auto"/>
          <w:sz w:val="28"/>
          <w:szCs w:val="16"/>
          <w:highlight w:val="none"/>
          <w:lang w:eastAsia="zh-CN"/>
        </w:rPr>
        <w:t>附件一、</w:t>
      </w:r>
      <w:r>
        <w:rPr>
          <w:rFonts w:hint="eastAsia" w:ascii="宋体" w:hAnsi="宋体" w:eastAsia="宋体" w:cs="宋体"/>
          <w:b/>
          <w:bCs/>
          <w:color w:val="auto"/>
          <w:sz w:val="28"/>
          <w:szCs w:val="16"/>
          <w:highlight w:val="none"/>
          <w:lang w:val="en-US" w:eastAsia="zh-CN"/>
        </w:rPr>
        <w:t>工程量清单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6"/>
        <w:gridCol w:w="1602"/>
        <w:gridCol w:w="2992"/>
        <w:gridCol w:w="638"/>
        <w:gridCol w:w="1216"/>
        <w:gridCol w:w="1371"/>
      </w:tblGrid>
      <w:tr w14:paraId="206D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F9ED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66"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D324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81"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745B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6460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78"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8A9B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合同数量</w:t>
            </w:r>
          </w:p>
        </w:tc>
        <w:tc>
          <w:tcPr>
            <w:tcW w:w="830" w:type="pct"/>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2CDF9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价格组成</w:t>
            </w:r>
          </w:p>
        </w:tc>
      </w:tr>
      <w:tr w14:paraId="0C9D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E83E83A">
            <w:pPr>
              <w:jc w:val="center"/>
              <w:rPr>
                <w:rFonts w:hint="eastAsia" w:ascii="宋体" w:hAnsi="宋体" w:eastAsia="宋体" w:cs="宋体"/>
                <w:i w:val="0"/>
                <w:iCs w:val="0"/>
                <w:color w:val="000000"/>
                <w:sz w:val="20"/>
                <w:szCs w:val="20"/>
                <w:u w:val="none"/>
              </w:rPr>
            </w:pP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C51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绿化给水</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2D5DA0">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D49FA5">
            <w:pPr>
              <w:jc w:val="left"/>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E061CB">
            <w:pPr>
              <w:jc w:val="right"/>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520C703">
            <w:pPr>
              <w:jc w:val="right"/>
              <w:rPr>
                <w:rFonts w:hint="eastAsia" w:ascii="宋体" w:hAnsi="宋体" w:eastAsia="宋体" w:cs="宋体"/>
                <w:i w:val="0"/>
                <w:iCs w:val="0"/>
                <w:color w:val="000000"/>
                <w:sz w:val="20"/>
                <w:szCs w:val="20"/>
                <w:u w:val="none"/>
              </w:rPr>
            </w:pPr>
          </w:p>
        </w:tc>
      </w:tr>
      <w:tr w14:paraId="1EE3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E157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509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施工缝</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F74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1.水稳层切缝</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24F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7D4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w:t>
            </w:r>
          </w:p>
        </w:tc>
        <w:tc>
          <w:tcPr>
            <w:tcW w:w="830" w:type="pct"/>
            <w:vMerge w:val="restar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E143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1.与完成本项内容的所有材料（如镀锌管套管、混凝土、中粗砂、PE给水管、取水阀等）均由乙方自备，费用包含在单价中。2.与完成本项内容的所有施工、安装、运输及机械进岀场等所有费用、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纸计算工程量，经甲方、监理、业主认可。</w:t>
            </w:r>
          </w:p>
        </w:tc>
      </w:tr>
      <w:tr w14:paraId="42FD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B0F7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EE5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拆除道路基层</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B28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1、18cm水稳层三层</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52D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62A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224.64</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07D07DF">
            <w:pPr>
              <w:jc w:val="center"/>
              <w:rPr>
                <w:rFonts w:hint="eastAsia" w:ascii="宋体" w:hAnsi="宋体" w:eastAsia="宋体" w:cs="宋体"/>
                <w:i w:val="0"/>
                <w:iCs w:val="0"/>
                <w:color w:val="000000"/>
                <w:sz w:val="20"/>
                <w:szCs w:val="20"/>
                <w:u w:val="none"/>
              </w:rPr>
            </w:pPr>
          </w:p>
        </w:tc>
      </w:tr>
      <w:tr w14:paraId="3FB1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AA7E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34F7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拆除道路基层</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B03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1、20cm厚级配碎石垫层</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B66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7DD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74.88</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40ABE80">
            <w:pPr>
              <w:jc w:val="center"/>
              <w:rPr>
                <w:rFonts w:hint="eastAsia" w:ascii="宋体" w:hAnsi="宋体" w:eastAsia="宋体" w:cs="宋体"/>
                <w:i w:val="0"/>
                <w:iCs w:val="0"/>
                <w:color w:val="000000"/>
                <w:sz w:val="20"/>
                <w:szCs w:val="20"/>
                <w:u w:val="none"/>
              </w:rPr>
            </w:pPr>
          </w:p>
        </w:tc>
      </w:tr>
      <w:tr w14:paraId="0D86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D33A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D39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2F9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1、拆除路缘石基层</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534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5E9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5360322">
            <w:pPr>
              <w:jc w:val="center"/>
              <w:rPr>
                <w:rFonts w:hint="eastAsia" w:ascii="宋体" w:hAnsi="宋体" w:eastAsia="宋体" w:cs="宋体"/>
                <w:i w:val="0"/>
                <w:iCs w:val="0"/>
                <w:color w:val="000000"/>
                <w:sz w:val="20"/>
                <w:szCs w:val="20"/>
                <w:u w:val="none"/>
              </w:rPr>
            </w:pPr>
          </w:p>
        </w:tc>
      </w:tr>
      <w:tr w14:paraId="1B8F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A9AC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CA9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拆除侧、平(缘）石</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BB3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1、拆除花岗岩站石</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373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D87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BD26638">
            <w:pPr>
              <w:jc w:val="center"/>
              <w:rPr>
                <w:rFonts w:hint="eastAsia" w:ascii="宋体" w:hAnsi="宋体" w:eastAsia="宋体" w:cs="宋体"/>
                <w:i w:val="0"/>
                <w:iCs w:val="0"/>
                <w:color w:val="000000"/>
                <w:sz w:val="20"/>
                <w:szCs w:val="20"/>
                <w:u w:val="none"/>
              </w:rPr>
            </w:pPr>
          </w:p>
        </w:tc>
      </w:tr>
      <w:tr w14:paraId="6C9F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2444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2E7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建筑垃圾弃置</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AEE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1.废弃料品种:混凝土、砖砌体、水稳层等破块垃圾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2.弃运距离：7km</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BB5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617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56.6712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520A575">
            <w:pPr>
              <w:jc w:val="center"/>
              <w:rPr>
                <w:rFonts w:hint="eastAsia" w:ascii="宋体" w:hAnsi="宋体" w:eastAsia="宋体" w:cs="宋体"/>
                <w:i w:val="0"/>
                <w:iCs w:val="0"/>
                <w:color w:val="000000"/>
                <w:sz w:val="20"/>
                <w:szCs w:val="20"/>
                <w:u w:val="none"/>
              </w:rPr>
            </w:pPr>
          </w:p>
        </w:tc>
      </w:tr>
      <w:tr w14:paraId="0C7C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DF4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604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6BE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1.废弃料品种:建筑垃圾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2.土（石）方、建筑垃圾等外运消纳费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3.含弃运至城管部门指定场地的消纳费用</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2D0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B47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56.6712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AAB11A1">
            <w:pPr>
              <w:jc w:val="center"/>
              <w:rPr>
                <w:rFonts w:hint="eastAsia" w:ascii="宋体" w:hAnsi="宋体" w:eastAsia="宋体" w:cs="宋体"/>
                <w:i w:val="0"/>
                <w:iCs w:val="0"/>
                <w:color w:val="000000"/>
                <w:sz w:val="20"/>
                <w:szCs w:val="20"/>
                <w:u w:val="none"/>
              </w:rPr>
            </w:pPr>
          </w:p>
        </w:tc>
      </w:tr>
      <w:tr w14:paraId="1359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FC3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580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安砌花岗岩高站石</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403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1、芝麻灰花岗岩高站石，规格100x15x45cm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2、基础垫层，另见列清单项“站（缘、卧）石混凝土基座（垫层）”</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709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1E3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DE03C79">
            <w:pPr>
              <w:jc w:val="center"/>
              <w:rPr>
                <w:rFonts w:hint="eastAsia" w:ascii="宋体" w:hAnsi="宋体" w:eastAsia="宋体" w:cs="宋体"/>
                <w:i w:val="0"/>
                <w:iCs w:val="0"/>
                <w:color w:val="000000"/>
                <w:sz w:val="20"/>
                <w:szCs w:val="20"/>
                <w:u w:val="none"/>
              </w:rPr>
            </w:pPr>
          </w:p>
        </w:tc>
      </w:tr>
      <w:tr w14:paraId="29EC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C6F1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B9E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预制砼靠背</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E99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1、预制C15砼靠背，规格10（宽）*25(高）cm，详见预制C15混凝土靠背大样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2、基础垫层，另见列清单项“站（缘、卧）石混凝土基座（垫层）”</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B2D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EE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98F0F68">
            <w:pPr>
              <w:jc w:val="center"/>
              <w:rPr>
                <w:rFonts w:hint="eastAsia" w:ascii="宋体" w:hAnsi="宋体" w:eastAsia="宋体" w:cs="宋体"/>
                <w:i w:val="0"/>
                <w:iCs w:val="0"/>
                <w:color w:val="000000"/>
                <w:sz w:val="20"/>
                <w:szCs w:val="20"/>
                <w:u w:val="none"/>
              </w:rPr>
            </w:pPr>
          </w:p>
        </w:tc>
      </w:tr>
      <w:tr w14:paraId="45B8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2E5A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CE7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站（缘、卧）石混凝土基座（垫层）</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907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1.混凝土强度等级:C15细石商品砼</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4F4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75B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0.264</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B738552">
            <w:pPr>
              <w:jc w:val="center"/>
              <w:rPr>
                <w:rFonts w:hint="eastAsia" w:ascii="宋体" w:hAnsi="宋体" w:eastAsia="宋体" w:cs="宋体"/>
                <w:i w:val="0"/>
                <w:iCs w:val="0"/>
                <w:color w:val="000000"/>
                <w:sz w:val="20"/>
                <w:szCs w:val="20"/>
                <w:u w:val="none"/>
              </w:rPr>
            </w:pPr>
          </w:p>
        </w:tc>
      </w:tr>
      <w:tr w14:paraId="301F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9CA8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D29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垫层模板与支撑</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CC0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1、站（缘、卧）石混凝土基座（垫层）模板与支撑</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610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2EC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069FF41">
            <w:pPr>
              <w:jc w:val="center"/>
              <w:rPr>
                <w:rFonts w:hint="eastAsia" w:ascii="宋体" w:hAnsi="宋体" w:eastAsia="宋体" w:cs="宋体"/>
                <w:i w:val="0"/>
                <w:iCs w:val="0"/>
                <w:color w:val="000000"/>
                <w:sz w:val="20"/>
                <w:szCs w:val="20"/>
                <w:u w:val="none"/>
              </w:rPr>
            </w:pPr>
          </w:p>
        </w:tc>
      </w:tr>
      <w:tr w14:paraId="0EBE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1595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5E9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E0F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2.挖土深度:按照设计</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291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087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91.4184</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8D9C655">
            <w:pPr>
              <w:jc w:val="center"/>
              <w:rPr>
                <w:rFonts w:hint="eastAsia" w:ascii="宋体" w:hAnsi="宋体" w:eastAsia="宋体" w:cs="宋体"/>
                <w:i w:val="0"/>
                <w:iCs w:val="0"/>
                <w:color w:val="000000"/>
                <w:sz w:val="20"/>
                <w:szCs w:val="20"/>
                <w:u w:val="none"/>
              </w:rPr>
            </w:pPr>
          </w:p>
        </w:tc>
      </w:tr>
      <w:tr w14:paraId="4216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8FBA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D97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D405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1.密实度要求:按设计图纸要求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3.填方粒径要求:管道管坑两侧及管面回填土应分层夯实。沟槽回填要求详见《给水排水管道工程施工及验收规范》GB50268-2008,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4.填方来源、运距:原土回填</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052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B29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87.6733388</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484E7E4">
            <w:pPr>
              <w:jc w:val="center"/>
              <w:rPr>
                <w:rFonts w:hint="eastAsia" w:ascii="宋体" w:hAnsi="宋体" w:eastAsia="宋体" w:cs="宋体"/>
                <w:i w:val="0"/>
                <w:iCs w:val="0"/>
                <w:color w:val="000000"/>
                <w:sz w:val="20"/>
                <w:szCs w:val="20"/>
                <w:u w:val="none"/>
              </w:rPr>
            </w:pPr>
          </w:p>
        </w:tc>
      </w:tr>
      <w:tr w14:paraId="56CA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7C27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AD5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912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2.运距:7km</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B3C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8B8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3.7450612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00147A8">
            <w:pPr>
              <w:jc w:val="center"/>
              <w:rPr>
                <w:rFonts w:hint="eastAsia" w:ascii="宋体" w:hAnsi="宋体" w:eastAsia="宋体" w:cs="宋体"/>
                <w:i w:val="0"/>
                <w:iCs w:val="0"/>
                <w:color w:val="000000"/>
                <w:sz w:val="20"/>
                <w:szCs w:val="20"/>
                <w:u w:val="none"/>
              </w:rPr>
            </w:pPr>
          </w:p>
        </w:tc>
      </w:tr>
      <w:tr w14:paraId="0873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B63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396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A30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1.废弃料品种：土（石）方、渣土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2.土（石）方、建筑垃圾等外运消纳费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3.含弃运至城管部门指定场地的消纳费用</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C32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250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3.7450612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87555E">
            <w:pPr>
              <w:jc w:val="center"/>
              <w:rPr>
                <w:rFonts w:hint="eastAsia" w:ascii="宋体" w:hAnsi="宋体" w:eastAsia="宋体" w:cs="宋体"/>
                <w:i w:val="0"/>
                <w:iCs w:val="0"/>
                <w:color w:val="000000"/>
                <w:sz w:val="20"/>
                <w:szCs w:val="20"/>
                <w:u w:val="none"/>
              </w:rPr>
            </w:pPr>
          </w:p>
        </w:tc>
      </w:tr>
      <w:tr w14:paraId="6424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18B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63A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B05B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1.名称：镀锌管套管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2.规格：D216X6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3.内外防腐：埋地钢管应做好内外防腐,其中: 外防腐要求:手工除锈ST3级,采用新型高分子防腐涂料两布四油,防腐层漆膜干厚280~300μm;内防腐要求:均采用喷砂防锈Sa2.5级,防腐涂料刷两 道底漆、二道面漆,防腐层漆膜干厚度80~100μm。</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C85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F44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7258CF4">
            <w:pPr>
              <w:jc w:val="center"/>
              <w:rPr>
                <w:rFonts w:hint="eastAsia" w:ascii="宋体" w:hAnsi="宋体" w:eastAsia="宋体" w:cs="宋体"/>
                <w:i w:val="0"/>
                <w:iCs w:val="0"/>
                <w:color w:val="000000"/>
                <w:sz w:val="20"/>
                <w:szCs w:val="20"/>
                <w:u w:val="none"/>
              </w:rPr>
            </w:pPr>
          </w:p>
        </w:tc>
      </w:tr>
      <w:tr w14:paraId="76A7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4A03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D5C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9BC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1.混凝土强度等级:C30商砼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2.厚度:54cm</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B04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0F9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126.97</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DD454E">
            <w:pPr>
              <w:jc w:val="center"/>
              <w:rPr>
                <w:rFonts w:hint="eastAsia" w:ascii="宋体" w:hAnsi="宋体" w:eastAsia="宋体" w:cs="宋体"/>
                <w:i w:val="0"/>
                <w:iCs w:val="0"/>
                <w:color w:val="000000"/>
                <w:sz w:val="20"/>
                <w:szCs w:val="20"/>
                <w:u w:val="none"/>
              </w:rPr>
            </w:pPr>
          </w:p>
        </w:tc>
      </w:tr>
      <w:tr w14:paraId="7D2F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4B50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C1C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641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1.材料品种、规格:中粗砂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2.厚度:给水管道基础为10cm细沙,基础上要求偎中粗砂至管顶以上20cm</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B98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936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41.64616</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A35BFEB">
            <w:pPr>
              <w:jc w:val="center"/>
              <w:rPr>
                <w:rFonts w:hint="eastAsia" w:ascii="宋体" w:hAnsi="宋体" w:eastAsia="宋体" w:cs="宋体"/>
                <w:i w:val="0"/>
                <w:iCs w:val="0"/>
                <w:color w:val="000000"/>
                <w:sz w:val="20"/>
                <w:szCs w:val="20"/>
                <w:u w:val="none"/>
              </w:rPr>
            </w:pPr>
          </w:p>
        </w:tc>
      </w:tr>
      <w:tr w14:paraId="5056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2861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3D8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695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3.材质、规格:PE给水管 de110，管道压力等级为1.0MPa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4.连接形式:热熔连接，含管件安装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5.压力试验及吹、洗设计要求:详施工图</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E70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54C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5346.97</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D2A7DFC">
            <w:pPr>
              <w:jc w:val="center"/>
              <w:rPr>
                <w:rFonts w:hint="eastAsia" w:ascii="宋体" w:hAnsi="宋体" w:eastAsia="宋体" w:cs="宋体"/>
                <w:i w:val="0"/>
                <w:iCs w:val="0"/>
                <w:color w:val="000000"/>
                <w:sz w:val="20"/>
                <w:szCs w:val="20"/>
                <w:u w:val="none"/>
              </w:rPr>
            </w:pPr>
          </w:p>
        </w:tc>
      </w:tr>
      <w:tr w14:paraId="19CF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82C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6B6F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A63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1.名称：取水阀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2.规格：DN20(3/4寸外螺纹接口),带取水杆 配套708阀箱</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E7B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4CD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9C37AA5">
            <w:pPr>
              <w:jc w:val="center"/>
              <w:rPr>
                <w:rFonts w:hint="eastAsia" w:ascii="宋体" w:hAnsi="宋体" w:eastAsia="宋体" w:cs="宋体"/>
                <w:i w:val="0"/>
                <w:iCs w:val="0"/>
                <w:color w:val="000000"/>
                <w:sz w:val="20"/>
                <w:szCs w:val="20"/>
                <w:u w:val="none"/>
              </w:rPr>
            </w:pPr>
          </w:p>
        </w:tc>
      </w:tr>
      <w:tr w14:paraId="29CD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F85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64B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D64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1.名称：法兰水表组成安装(带旁通管)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2.规格：DN100，参见图集07MS101-2-134,内含止回阀,，水表及闸阀,具体形式以业主要求为准</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6FF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FA0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C481CBF">
            <w:pPr>
              <w:jc w:val="center"/>
              <w:rPr>
                <w:rFonts w:hint="eastAsia" w:ascii="宋体" w:hAnsi="宋体" w:eastAsia="宋体" w:cs="宋体"/>
                <w:i w:val="0"/>
                <w:iCs w:val="0"/>
                <w:color w:val="000000"/>
                <w:sz w:val="20"/>
                <w:szCs w:val="20"/>
                <w:u w:val="none"/>
              </w:rPr>
            </w:pPr>
          </w:p>
        </w:tc>
      </w:tr>
      <w:tr w14:paraId="310D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448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8BE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887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1.名称：水表井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2.规格：参见图集07MS101-2-134,,具体形式以业主要求为准</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A71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A78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DEDED4C">
            <w:pPr>
              <w:jc w:val="center"/>
              <w:rPr>
                <w:rFonts w:hint="eastAsia" w:ascii="宋体" w:hAnsi="宋体" w:eastAsia="宋体" w:cs="宋体"/>
                <w:i w:val="0"/>
                <w:iCs w:val="0"/>
                <w:color w:val="000000"/>
                <w:sz w:val="20"/>
                <w:szCs w:val="20"/>
                <w:u w:val="none"/>
              </w:rPr>
            </w:pPr>
          </w:p>
        </w:tc>
      </w:tr>
      <w:tr w14:paraId="461F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2B85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E09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DAF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1.名称：盲板（水表处）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3.其他：配套法兰</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BEA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671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E76BB47">
            <w:pPr>
              <w:jc w:val="center"/>
              <w:rPr>
                <w:rFonts w:hint="eastAsia" w:ascii="宋体" w:hAnsi="宋体" w:eastAsia="宋体" w:cs="宋体"/>
                <w:i w:val="0"/>
                <w:iCs w:val="0"/>
                <w:color w:val="000000"/>
                <w:sz w:val="20"/>
                <w:szCs w:val="20"/>
                <w:u w:val="none"/>
              </w:rPr>
            </w:pPr>
          </w:p>
        </w:tc>
      </w:tr>
      <w:tr w14:paraId="6304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57BC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77F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780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1.名称：弹性密闭闸阀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3.其他：配套法兰</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FA2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E8A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3CE4E1">
            <w:pPr>
              <w:jc w:val="center"/>
              <w:rPr>
                <w:rFonts w:hint="eastAsia" w:ascii="宋体" w:hAnsi="宋体" w:eastAsia="宋体" w:cs="宋体"/>
                <w:i w:val="0"/>
                <w:iCs w:val="0"/>
                <w:color w:val="000000"/>
                <w:sz w:val="20"/>
                <w:szCs w:val="20"/>
                <w:u w:val="none"/>
              </w:rPr>
            </w:pPr>
          </w:p>
        </w:tc>
      </w:tr>
      <w:tr w14:paraId="7F4B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412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321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EBF1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1.名称：阀门井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2.规格：配套1320阀箱</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C53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929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FA01A88">
            <w:pPr>
              <w:jc w:val="center"/>
              <w:rPr>
                <w:rFonts w:hint="eastAsia" w:ascii="宋体" w:hAnsi="宋体" w:eastAsia="宋体" w:cs="宋体"/>
                <w:i w:val="0"/>
                <w:iCs w:val="0"/>
                <w:color w:val="000000"/>
                <w:sz w:val="20"/>
                <w:szCs w:val="20"/>
                <w:u w:val="none"/>
              </w:rPr>
            </w:pPr>
          </w:p>
        </w:tc>
      </w:tr>
      <w:tr w14:paraId="5E4C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B6C0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FFC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F20C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绿化给水管道敷设在道路下时,管道三通、四通、弯头正上方及直管段每隔30米处布设专用不锈钢圆形标识牌,标识牌直径为10cm</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572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22C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3909249">
            <w:pPr>
              <w:jc w:val="center"/>
              <w:rPr>
                <w:rFonts w:hint="eastAsia" w:ascii="宋体" w:hAnsi="宋体" w:eastAsia="宋体" w:cs="宋体"/>
                <w:i w:val="0"/>
                <w:iCs w:val="0"/>
                <w:color w:val="000000"/>
                <w:sz w:val="20"/>
                <w:szCs w:val="20"/>
                <w:u w:val="none"/>
              </w:rPr>
            </w:pPr>
          </w:p>
        </w:tc>
      </w:tr>
      <w:tr w14:paraId="250F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B604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6014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DB7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1.管道敷设在野外场地及绿化带内时,管道三通、四通、弯头正上方及直管段每隔100米处布设规格BLH=100×100×1000mm专用管网标识桩,材质为复合材料</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959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04B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565E8BD">
            <w:pPr>
              <w:jc w:val="center"/>
              <w:rPr>
                <w:rFonts w:hint="eastAsia" w:ascii="宋体" w:hAnsi="宋体" w:eastAsia="宋体" w:cs="宋体"/>
                <w:i w:val="0"/>
                <w:iCs w:val="0"/>
                <w:color w:val="000000"/>
                <w:sz w:val="20"/>
                <w:szCs w:val="20"/>
                <w:u w:val="none"/>
              </w:rPr>
            </w:pPr>
          </w:p>
        </w:tc>
      </w:tr>
      <w:tr w14:paraId="33D7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B3F795F">
            <w:pPr>
              <w:jc w:val="center"/>
              <w:rPr>
                <w:rFonts w:hint="eastAsia" w:ascii="宋体" w:hAnsi="宋体" w:eastAsia="宋体" w:cs="宋体"/>
                <w:i w:val="0"/>
                <w:iCs w:val="0"/>
                <w:color w:val="000000"/>
                <w:sz w:val="20"/>
                <w:szCs w:val="20"/>
                <w:u w:val="none"/>
              </w:rPr>
            </w:pP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C3C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绿化工程</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C805F7">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3BF5B5">
            <w:pPr>
              <w:jc w:val="left"/>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5A5225">
            <w:pPr>
              <w:jc w:val="right"/>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631A746">
            <w:pPr>
              <w:jc w:val="right"/>
              <w:rPr>
                <w:rFonts w:hint="eastAsia" w:ascii="宋体" w:hAnsi="宋体" w:eastAsia="宋体" w:cs="宋体"/>
                <w:i w:val="0"/>
                <w:iCs w:val="0"/>
                <w:color w:val="000000"/>
                <w:sz w:val="20"/>
                <w:szCs w:val="20"/>
                <w:u w:val="none"/>
              </w:rPr>
            </w:pPr>
          </w:p>
        </w:tc>
      </w:tr>
      <w:tr w14:paraId="72AD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BA08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1976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挖一般土方</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C67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2.场内运输1km</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330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F8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7425</w:t>
            </w:r>
          </w:p>
        </w:tc>
        <w:tc>
          <w:tcPr>
            <w:tcW w:w="830" w:type="pct"/>
            <w:vMerge w:val="restar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7087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1.与完成本项内容的所有材料（如泥炭土、肥料、黄沙等）均由乙方自备，费用包含在单价中。2.与完成本项内容的所有施工、安装、运输及机械进岀场等所有费用、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纸计算工程量，经甲方、监理、业主认可。</w:t>
            </w:r>
          </w:p>
        </w:tc>
      </w:tr>
      <w:tr w14:paraId="6F54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F386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B2F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回填土方（绿化区）</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FB9E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1.密实度要求:满足设计和规范要求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3.填方粒径要求:满足设计和规范要求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4.填方来源、运距:利用挖方运来土方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6D2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C12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7425</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B39EAB2">
            <w:pPr>
              <w:jc w:val="center"/>
              <w:rPr>
                <w:rFonts w:hint="eastAsia" w:ascii="宋体" w:hAnsi="宋体" w:eastAsia="宋体" w:cs="宋体"/>
                <w:i w:val="0"/>
                <w:iCs w:val="0"/>
                <w:color w:val="000000"/>
                <w:sz w:val="20"/>
                <w:szCs w:val="20"/>
                <w:u w:val="none"/>
              </w:rPr>
            </w:pPr>
          </w:p>
        </w:tc>
      </w:tr>
      <w:tr w14:paraId="783C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6F2C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A9F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土工布铺设（土基层上）</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B6B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1、防水土工布(中侧分带)</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D16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168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13392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7D4EB7A">
            <w:pPr>
              <w:jc w:val="center"/>
              <w:rPr>
                <w:rFonts w:hint="eastAsia" w:ascii="宋体" w:hAnsi="宋体" w:eastAsia="宋体" w:cs="宋体"/>
                <w:i w:val="0"/>
                <w:iCs w:val="0"/>
                <w:color w:val="000000"/>
                <w:sz w:val="20"/>
                <w:szCs w:val="20"/>
                <w:u w:val="none"/>
              </w:rPr>
            </w:pPr>
          </w:p>
        </w:tc>
      </w:tr>
      <w:tr w14:paraId="7647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77CB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FDD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93D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1.整理绿化用地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2.铺沙5cm厚，泥炭土每平方米2袋，6-7公斤/袋。原土均匀拌和30cm厚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3.在植物种植前，应对土壤理化性质进行分析，采用相应的土壤改良、施肥和置换客土等措施，使土壤具有满足园林栽植植物生长所需要的水、肥、气热的能力，并依据最终检测土壤检测报告进行土壤改良</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168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F54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DFDC44">
            <w:pPr>
              <w:jc w:val="center"/>
              <w:rPr>
                <w:rFonts w:hint="eastAsia" w:ascii="宋体" w:hAnsi="宋体" w:eastAsia="宋体" w:cs="宋体"/>
                <w:i w:val="0"/>
                <w:iCs w:val="0"/>
                <w:color w:val="000000"/>
                <w:sz w:val="20"/>
                <w:szCs w:val="20"/>
                <w:u w:val="none"/>
              </w:rPr>
            </w:pPr>
          </w:p>
        </w:tc>
      </w:tr>
      <w:tr w14:paraId="644E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B028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5E0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1E0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1.回填土质要求:好土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2.道路红线范围内园林地形土,外购好土,送土前,需业主、监理、设计三方确认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3、好土挖运：7KM</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DBB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614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4455</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D5439DD">
            <w:pPr>
              <w:jc w:val="center"/>
              <w:rPr>
                <w:rFonts w:hint="eastAsia" w:ascii="宋体" w:hAnsi="宋体" w:eastAsia="宋体" w:cs="宋体"/>
                <w:i w:val="0"/>
                <w:iCs w:val="0"/>
                <w:color w:val="000000"/>
                <w:sz w:val="20"/>
                <w:szCs w:val="20"/>
                <w:u w:val="none"/>
              </w:rPr>
            </w:pPr>
          </w:p>
        </w:tc>
      </w:tr>
      <w:tr w14:paraId="739A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53E0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FFD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7BB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1.种类:二乔玉兰A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3.株高、冠径:高度&gt;550(cm)，冠幅&gt;350(cm)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5.特选行道树，树形饱满，全冠，长势强健。高杆，分枝点&gt;1.8m</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809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C54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830" w:type="pct"/>
            <w:vMerge w:val="restar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858C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1、与完成本项内容的所有材料（如二乔玉兰、香樟、早樱、三角枫、杜鹃球、红叶石楠、金森女贞草坪等）均由乙方自备，费用包含在单价中。2、与完成本项内容的所有施工、运输及机械进岀场等所有费用、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6B79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9D80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D3F3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ED5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1.种类:二乔玉兰B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3.株高、冠径:高度&gt;500(cm)，冠幅&gt;300(cm)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5.树形饱满，全冠，长势强健</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1C9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43B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A332691">
            <w:pPr>
              <w:jc w:val="center"/>
              <w:rPr>
                <w:rFonts w:hint="eastAsia" w:ascii="宋体" w:hAnsi="宋体" w:eastAsia="宋体" w:cs="宋体"/>
                <w:i w:val="0"/>
                <w:iCs w:val="0"/>
                <w:color w:val="000000"/>
                <w:sz w:val="20"/>
                <w:szCs w:val="20"/>
                <w:u w:val="none"/>
              </w:rPr>
            </w:pPr>
          </w:p>
        </w:tc>
      </w:tr>
      <w:tr w14:paraId="2A31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80E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71D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917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1.种类:香樟B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2.胸径或干径:25-26cm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3.株高、冠径:高度&gt;800(cm)，冠幅&gt;400(cm)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5.不偏冠，移栽三年苗,不可使用截干苗,全冠移植,可适当疏剪四级以上小枝，枝下高220以上,移栽2年以上</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6B8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05D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ED67880">
            <w:pPr>
              <w:jc w:val="center"/>
              <w:rPr>
                <w:rFonts w:hint="eastAsia" w:ascii="宋体" w:hAnsi="宋体" w:eastAsia="宋体" w:cs="宋体"/>
                <w:i w:val="0"/>
                <w:iCs w:val="0"/>
                <w:color w:val="000000"/>
                <w:sz w:val="20"/>
                <w:szCs w:val="20"/>
                <w:u w:val="none"/>
              </w:rPr>
            </w:pPr>
          </w:p>
        </w:tc>
      </w:tr>
      <w:tr w14:paraId="7B9A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427F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18F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A2F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1.种类:早樱B（染井吉野B）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3.株高、冠径:高度&gt;500(cm)，冠幅&gt;350(cm)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5.苗圃苗，全冠，染井吉野</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786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D4B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DD94F5A">
            <w:pPr>
              <w:jc w:val="center"/>
              <w:rPr>
                <w:rFonts w:hint="eastAsia" w:ascii="宋体" w:hAnsi="宋体" w:eastAsia="宋体" w:cs="宋体"/>
                <w:i w:val="0"/>
                <w:iCs w:val="0"/>
                <w:color w:val="000000"/>
                <w:sz w:val="20"/>
                <w:szCs w:val="20"/>
                <w:u w:val="none"/>
              </w:rPr>
            </w:pPr>
          </w:p>
        </w:tc>
      </w:tr>
      <w:tr w14:paraId="2330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8B3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864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栽植乔木{三角枫（丛）}</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D64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1.种类:三角枫A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2.株高、冠径:丛生,高度&gt;1200(cm)，冠幅&gt;550(cm)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4.分枝数5-7,单分支不小于15CM,特选,苗圃苗或二年移栽苗,全冠,非截干苗</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81E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CAF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628E8C0">
            <w:pPr>
              <w:jc w:val="center"/>
              <w:rPr>
                <w:rFonts w:hint="eastAsia" w:ascii="宋体" w:hAnsi="宋体" w:eastAsia="宋体" w:cs="宋体"/>
                <w:i w:val="0"/>
                <w:iCs w:val="0"/>
                <w:color w:val="000000"/>
                <w:sz w:val="20"/>
                <w:szCs w:val="20"/>
                <w:u w:val="none"/>
              </w:rPr>
            </w:pPr>
          </w:p>
        </w:tc>
      </w:tr>
      <w:tr w14:paraId="4E90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CA76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3D2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64B3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1.种类:杜鹃球（红）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2.株高、冠径:高度&gt;120(cm)，冠幅&gt;120(cm)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4.自然态，全冠，不可造型修剪。品种：安酷杜鹃红皇后，详见品种照片。</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1E6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C1F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6CEDAC0">
            <w:pPr>
              <w:jc w:val="center"/>
              <w:rPr>
                <w:rFonts w:hint="eastAsia" w:ascii="宋体" w:hAnsi="宋体" w:eastAsia="宋体" w:cs="宋体"/>
                <w:i w:val="0"/>
                <w:iCs w:val="0"/>
                <w:color w:val="000000"/>
                <w:sz w:val="20"/>
                <w:szCs w:val="20"/>
                <w:u w:val="none"/>
              </w:rPr>
            </w:pPr>
          </w:p>
        </w:tc>
      </w:tr>
      <w:tr w14:paraId="75FF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F4EF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9FC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A45C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1.种类:胡颓子B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2.株高、冠径:高度120</w:t>
            </w:r>
            <w:r>
              <w:rPr>
                <w:rFonts w:hint="eastAsia" w:ascii="宋体" w:hAnsi="宋体" w:eastAsia="宋体" w:cs="宋体"/>
                <w:i w:val="0"/>
                <w:iCs w:val="0"/>
                <w:color w:val="000000"/>
                <w:kern w:val="0"/>
                <w:sz w:val="20"/>
                <w:szCs w:val="20"/>
                <w:u w:val="none"/>
                <w:lang w:val="en-US" w:eastAsia="zh-CN" w:bidi="ar"/>
              </w:rPr>
              <w:softHyphen/>
            </w:r>
            <w:r>
              <w:rPr>
                <w:rFonts w:hint="eastAsia" w:ascii="宋体" w:hAnsi="宋体" w:eastAsia="宋体" w:cs="宋体"/>
                <w:i w:val="0"/>
                <w:iCs w:val="0"/>
                <w:color w:val="000000"/>
                <w:kern w:val="0"/>
                <w:sz w:val="20"/>
                <w:szCs w:val="20"/>
                <w:u w:val="none"/>
                <w:lang w:val="en-US" w:eastAsia="zh-CN" w:bidi="ar"/>
              </w:rPr>
              <w:t>﹣150(cm)，冠幅120</w:t>
            </w:r>
            <w:r>
              <w:rPr>
                <w:rFonts w:hint="eastAsia" w:ascii="宋体" w:hAnsi="宋体" w:eastAsia="宋体" w:cs="宋体"/>
                <w:i w:val="0"/>
                <w:iCs w:val="0"/>
                <w:color w:val="000000"/>
                <w:kern w:val="0"/>
                <w:sz w:val="20"/>
                <w:szCs w:val="20"/>
                <w:u w:val="none"/>
                <w:lang w:val="en-US" w:eastAsia="zh-CN" w:bidi="ar"/>
              </w:rPr>
              <w:softHyphen/>
            </w:r>
            <w:r>
              <w:rPr>
                <w:rFonts w:hint="eastAsia" w:ascii="宋体" w:hAnsi="宋体" w:eastAsia="宋体" w:cs="宋体"/>
                <w:i w:val="0"/>
                <w:iCs w:val="0"/>
                <w:color w:val="000000"/>
                <w:kern w:val="0"/>
                <w:sz w:val="20"/>
                <w:szCs w:val="20"/>
                <w:u w:val="none"/>
                <w:lang w:val="en-US" w:eastAsia="zh-CN" w:bidi="ar"/>
              </w:rPr>
              <w:t>﹣150(cm)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4.金边胡颓子，自然态，全冠，树形优美饱满</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DF6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D1E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24A5ADE">
            <w:pPr>
              <w:jc w:val="center"/>
              <w:rPr>
                <w:rFonts w:hint="eastAsia" w:ascii="宋体" w:hAnsi="宋体" w:eastAsia="宋体" w:cs="宋体"/>
                <w:i w:val="0"/>
                <w:iCs w:val="0"/>
                <w:color w:val="000000"/>
                <w:sz w:val="20"/>
                <w:szCs w:val="20"/>
                <w:u w:val="none"/>
              </w:rPr>
            </w:pPr>
          </w:p>
        </w:tc>
      </w:tr>
      <w:tr w14:paraId="5207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1C9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46A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D04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1.苗木、花卉种类:红叶石楠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2.株高或蓬径:高度25-30（cm），冠幅20-25(cm)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5.容器苗,每平方36株,定植规格</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029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901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4A5AAC8">
            <w:pPr>
              <w:jc w:val="center"/>
              <w:rPr>
                <w:rFonts w:hint="eastAsia" w:ascii="宋体" w:hAnsi="宋体" w:eastAsia="宋体" w:cs="宋体"/>
                <w:i w:val="0"/>
                <w:iCs w:val="0"/>
                <w:color w:val="000000"/>
                <w:sz w:val="20"/>
                <w:szCs w:val="20"/>
                <w:u w:val="none"/>
              </w:rPr>
            </w:pPr>
          </w:p>
        </w:tc>
      </w:tr>
      <w:tr w14:paraId="7D94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C515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90A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02DA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1.苗木、花卉种类:金森女贞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2.株高或蓬径:高度35-40（cm），冠幅25-30(cm)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3.单位面积株数:25株/m2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5.定植规格，容器苗，每平方25株,，二年生容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AFB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DB4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2572</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17ED9AB">
            <w:pPr>
              <w:jc w:val="center"/>
              <w:rPr>
                <w:rFonts w:hint="eastAsia" w:ascii="宋体" w:hAnsi="宋体" w:eastAsia="宋体" w:cs="宋体"/>
                <w:i w:val="0"/>
                <w:iCs w:val="0"/>
                <w:color w:val="000000"/>
                <w:sz w:val="20"/>
                <w:szCs w:val="20"/>
                <w:u w:val="none"/>
              </w:rPr>
            </w:pPr>
          </w:p>
        </w:tc>
      </w:tr>
      <w:tr w14:paraId="5508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C427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CCC3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A35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1.苗木、花卉种类:春鹃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2.株高或蓬径:高度30-35（cm），冠幅20-25(cm)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5.每平方36株，定植规格，成活后不可修剪成</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C40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57F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3396</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B50EE50">
            <w:pPr>
              <w:jc w:val="center"/>
              <w:rPr>
                <w:rFonts w:hint="eastAsia" w:ascii="宋体" w:hAnsi="宋体" w:eastAsia="宋体" w:cs="宋体"/>
                <w:i w:val="0"/>
                <w:iCs w:val="0"/>
                <w:color w:val="000000"/>
                <w:sz w:val="20"/>
                <w:szCs w:val="20"/>
                <w:u w:val="none"/>
              </w:rPr>
            </w:pPr>
          </w:p>
        </w:tc>
      </w:tr>
      <w:tr w14:paraId="1FA2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AFCE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684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F81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1.苗木、花卉种类:安酷杜鹃（粉丝带）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2.株高或蓬径:高度30-35（cm），冠幅20-25(cm)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5.每平方36株，定植规格，成活后不可修剪成,粉丝带,粉花</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857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27B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F1A6915">
            <w:pPr>
              <w:jc w:val="center"/>
              <w:rPr>
                <w:rFonts w:hint="eastAsia" w:ascii="宋体" w:hAnsi="宋体" w:eastAsia="宋体" w:cs="宋体"/>
                <w:i w:val="0"/>
                <w:iCs w:val="0"/>
                <w:color w:val="000000"/>
                <w:sz w:val="20"/>
                <w:szCs w:val="20"/>
                <w:u w:val="none"/>
              </w:rPr>
            </w:pPr>
          </w:p>
        </w:tc>
      </w:tr>
      <w:tr w14:paraId="4D70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0FC1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9CCD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899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1.苗木、花卉种类:大花美人蕉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2.株高或蓬径:高度30-35（cm），冠幅25-30(cm)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3.单位面积株数:16株/m2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5.容器苗,每平方16株,定植规格,粉红色</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06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C22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D7C1D89">
            <w:pPr>
              <w:jc w:val="center"/>
              <w:rPr>
                <w:rFonts w:hint="eastAsia" w:ascii="宋体" w:hAnsi="宋体" w:eastAsia="宋体" w:cs="宋体"/>
                <w:i w:val="0"/>
                <w:iCs w:val="0"/>
                <w:color w:val="000000"/>
                <w:sz w:val="20"/>
                <w:szCs w:val="20"/>
                <w:u w:val="none"/>
              </w:rPr>
            </w:pPr>
          </w:p>
        </w:tc>
      </w:tr>
      <w:tr w14:paraId="3E32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EE02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790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889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1.苗木、花卉种类:大花萱草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2.株高或蓬径:高度20-25（cm），冠幅20-25（cm)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5.容器苗,每平方36株,每株不得少于5芽</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408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D06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E7AA333">
            <w:pPr>
              <w:jc w:val="center"/>
              <w:rPr>
                <w:rFonts w:hint="eastAsia" w:ascii="宋体" w:hAnsi="宋体" w:eastAsia="宋体" w:cs="宋体"/>
                <w:i w:val="0"/>
                <w:iCs w:val="0"/>
                <w:color w:val="000000"/>
                <w:sz w:val="20"/>
                <w:szCs w:val="20"/>
                <w:u w:val="none"/>
              </w:rPr>
            </w:pPr>
          </w:p>
        </w:tc>
      </w:tr>
      <w:tr w14:paraId="1EC4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4B27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74E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A77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1.苗木、花卉种类:细叶麦冬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2.株高或蓬径:高度15-20（cm），冠幅10-15(cm)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3.单位面积株数:麦冬每平方64蔸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麦冬每平方64蔸,每蔸不少于12芽，不可剪叶</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055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874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2466</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C771916">
            <w:pPr>
              <w:jc w:val="center"/>
              <w:rPr>
                <w:rFonts w:hint="eastAsia" w:ascii="宋体" w:hAnsi="宋体" w:eastAsia="宋体" w:cs="宋体"/>
                <w:i w:val="0"/>
                <w:iCs w:val="0"/>
                <w:color w:val="000000"/>
                <w:sz w:val="20"/>
                <w:szCs w:val="20"/>
                <w:u w:val="none"/>
              </w:rPr>
            </w:pPr>
          </w:p>
        </w:tc>
      </w:tr>
      <w:tr w14:paraId="322B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FF80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3D9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871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1.苗木、花卉种类:宿根美女樱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2.株高或蓬径:高度20-25（cm），冠幅15-20(cm)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3.单位面积株数:49株兜/m2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5.容器苗,每平方49株,紫色</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5E6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3A1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F82CD75">
            <w:pPr>
              <w:jc w:val="center"/>
              <w:rPr>
                <w:rFonts w:hint="eastAsia" w:ascii="宋体" w:hAnsi="宋体" w:eastAsia="宋体" w:cs="宋体"/>
                <w:i w:val="0"/>
                <w:iCs w:val="0"/>
                <w:color w:val="000000"/>
                <w:sz w:val="20"/>
                <w:szCs w:val="20"/>
                <w:u w:val="none"/>
              </w:rPr>
            </w:pPr>
          </w:p>
        </w:tc>
      </w:tr>
      <w:tr w14:paraId="4B89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43C8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61AE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6D4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1.苗木、花卉种类:紫娇花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2.株高或蓬径:高度20-25（cm），冠幅15-20(cm)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3.单位面积株数:49兜/m2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5.每平方49蔸,每蔸不少于12芽,不可剪叶</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458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14D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22625F7">
            <w:pPr>
              <w:jc w:val="center"/>
              <w:rPr>
                <w:rFonts w:hint="eastAsia" w:ascii="宋体" w:hAnsi="宋体" w:eastAsia="宋体" w:cs="宋体"/>
                <w:i w:val="0"/>
                <w:iCs w:val="0"/>
                <w:color w:val="000000"/>
                <w:sz w:val="20"/>
                <w:szCs w:val="20"/>
                <w:u w:val="none"/>
              </w:rPr>
            </w:pPr>
          </w:p>
        </w:tc>
      </w:tr>
      <w:tr w14:paraId="02B0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2705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669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01D4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1.苗木、花卉种类:金叶石菖蒲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2.株高或蓬径:高度15-20（cm），冠幅15-20(cm)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3.单位面积株数:64</w:t>
            </w:r>
            <w:bookmarkStart w:id="0" w:name="_GoBack"/>
            <w:bookmarkEnd w:id="0"/>
            <w:r>
              <w:rPr>
                <w:rFonts w:hint="eastAsia" w:ascii="宋体" w:hAnsi="宋体" w:eastAsia="宋体" w:cs="宋体"/>
                <w:i w:val="0"/>
                <w:iCs w:val="0"/>
                <w:color w:val="000000"/>
                <w:kern w:val="0"/>
                <w:sz w:val="20"/>
                <w:szCs w:val="20"/>
                <w:u w:val="none"/>
                <w:lang w:val="en-US" w:eastAsia="zh-CN" w:bidi="ar"/>
              </w:rPr>
              <w:t>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5.每平方64株</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0C4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728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28C565E">
            <w:pPr>
              <w:jc w:val="center"/>
              <w:rPr>
                <w:rFonts w:hint="eastAsia" w:ascii="宋体" w:hAnsi="宋体" w:eastAsia="宋体" w:cs="宋体"/>
                <w:i w:val="0"/>
                <w:iCs w:val="0"/>
                <w:color w:val="000000"/>
                <w:sz w:val="20"/>
                <w:szCs w:val="20"/>
                <w:u w:val="none"/>
              </w:rPr>
            </w:pPr>
          </w:p>
        </w:tc>
      </w:tr>
      <w:tr w14:paraId="1658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9E4C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801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1B8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1.苗木、花卉种类:欧石竹（粉欢乐）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2.株高或蓬径:高度15-20（cm），冠幅15-20(cm)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3.单位面积株数:64株/m2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5.每平方64株</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9B8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8EF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C2C8C0B">
            <w:pPr>
              <w:jc w:val="center"/>
              <w:rPr>
                <w:rFonts w:hint="eastAsia" w:ascii="宋体" w:hAnsi="宋体" w:eastAsia="宋体" w:cs="宋体"/>
                <w:i w:val="0"/>
                <w:iCs w:val="0"/>
                <w:color w:val="000000"/>
                <w:sz w:val="20"/>
                <w:szCs w:val="20"/>
                <w:u w:val="none"/>
              </w:rPr>
            </w:pPr>
          </w:p>
        </w:tc>
      </w:tr>
      <w:tr w14:paraId="78F8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3F06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6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3F2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78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3B5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1.草皮种类:矮生百慕大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2.铺种方式:无缝工字铺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3.养护期:一级养护，成活养护3个月，保存养护12个月，最终以养护合同为准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4.矮生百慕大草皮卷(规格不小于300X600)或草毯,无缝工字铺。秋季播种黑麦草(每平方30g)。</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A1B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15B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4789</w:t>
            </w:r>
          </w:p>
        </w:tc>
        <w:tc>
          <w:tcPr>
            <w:tcW w:w="830"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2F0403F">
            <w:pPr>
              <w:jc w:val="center"/>
              <w:rPr>
                <w:rFonts w:hint="eastAsia" w:ascii="宋体" w:hAnsi="宋体" w:eastAsia="宋体" w:cs="宋体"/>
                <w:i w:val="0"/>
                <w:iCs w:val="0"/>
                <w:color w:val="000000"/>
                <w:sz w:val="20"/>
                <w:szCs w:val="20"/>
                <w:u w:val="none"/>
              </w:rPr>
            </w:pPr>
          </w:p>
        </w:tc>
      </w:tr>
    </w:tbl>
    <w:p w14:paraId="5A79F515">
      <w:pPr>
        <w:pStyle w:val="7"/>
        <w:rPr>
          <w:rFonts w:hint="eastAsia" w:ascii="宋体" w:hAnsi="宋体" w:eastAsia="宋体" w:cs="宋体"/>
          <w:b/>
          <w:bCs/>
          <w:color w:val="auto"/>
          <w:sz w:val="36"/>
          <w:highlight w:val="none"/>
        </w:rPr>
        <w:sectPr>
          <w:pgSz w:w="11906" w:h="16838"/>
          <w:pgMar w:top="1440" w:right="1797" w:bottom="1440" w:left="1797" w:header="1191" w:footer="992" w:gutter="0"/>
          <w:pgBorders>
            <w:top w:val="none" w:sz="0" w:space="0"/>
            <w:left w:val="none" w:sz="0" w:space="0"/>
            <w:bottom w:val="none" w:sz="0" w:space="0"/>
            <w:right w:val="none" w:sz="0" w:space="0"/>
          </w:pgBorders>
          <w:cols w:space="720" w:num="1"/>
          <w:docGrid w:type="lines" w:linePitch="312" w:charSpace="0"/>
        </w:sectPr>
      </w:pPr>
    </w:p>
    <w:p w14:paraId="145E9764">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651DE4E6">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2A1DC7B1">
      <w:pPr>
        <w:rPr>
          <w:rFonts w:hint="eastAsia" w:ascii="宋体" w:hAnsi="宋体" w:eastAsia="宋体" w:cs="宋体"/>
          <w:sz w:val="28"/>
          <w:highlight w:val="none"/>
        </w:rPr>
      </w:pPr>
    </w:p>
    <w:p w14:paraId="7A37258E">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75FF68C0">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374B4F99">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5A624FA2">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0F1E4005">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1BA7AB47">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76A2A338">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77746222">
      <w:pPr>
        <w:spacing w:line="360" w:lineRule="auto"/>
        <w:ind w:firstLine="570"/>
        <w:rPr>
          <w:rFonts w:hint="eastAsia" w:ascii="宋体" w:hAnsi="宋体" w:eastAsia="宋体" w:cs="宋体"/>
          <w:sz w:val="28"/>
          <w:highlight w:val="none"/>
        </w:rPr>
      </w:pPr>
    </w:p>
    <w:p w14:paraId="0031135D">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42C2518E">
      <w:pPr>
        <w:rPr>
          <w:rFonts w:hint="eastAsia" w:ascii="宋体" w:hAnsi="宋体" w:eastAsia="宋体" w:cs="宋体"/>
          <w:sz w:val="28"/>
          <w:highlight w:val="none"/>
        </w:rPr>
      </w:pPr>
    </w:p>
    <w:p w14:paraId="69F4B69A">
      <w:pPr>
        <w:rPr>
          <w:rFonts w:hint="eastAsia" w:ascii="宋体" w:hAnsi="宋体" w:eastAsia="宋体" w:cs="宋体"/>
          <w:sz w:val="28"/>
          <w:highlight w:val="none"/>
        </w:rPr>
      </w:pPr>
    </w:p>
    <w:p w14:paraId="12BDA6E8">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3AFD0C26">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709D312A">
      <w:pPr>
        <w:spacing w:line="451" w:lineRule="atLeast"/>
        <w:jc w:val="center"/>
        <w:rPr>
          <w:rFonts w:hint="eastAsia" w:ascii="宋体" w:hAnsi="宋体" w:eastAsia="宋体" w:cs="宋体"/>
          <w:kern w:val="0"/>
          <w:sz w:val="28"/>
          <w:szCs w:val="28"/>
          <w:highlight w:val="none"/>
        </w:rPr>
      </w:pPr>
    </w:p>
    <w:p w14:paraId="48F75111">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08B6BC4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608DAD10">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03DA0D26">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2ED56376">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11D7B8CC">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w:t>
      </w:r>
      <w:r>
        <w:rPr>
          <w:rFonts w:hint="eastAsia" w:ascii="宋体" w:hAnsi="宋体" w:eastAsia="宋体" w:cs="宋体"/>
          <w:kern w:val="0"/>
          <w:sz w:val="28"/>
          <w:szCs w:val="28"/>
          <w:highlight w:val="none"/>
          <w:lang w:val="en-US" w:eastAsia="zh-CN"/>
        </w:rPr>
        <w:t>参加</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bCs/>
          <w:sz w:val="28"/>
          <w:szCs w:val="28"/>
          <w:highlight w:val="none"/>
          <w:lang w:val="en-US" w:eastAsia="zh-CN"/>
        </w:rPr>
        <w:t>的</w:t>
      </w:r>
      <w:r>
        <w:rPr>
          <w:rFonts w:hint="eastAsia" w:ascii="宋体" w:hAnsi="宋体" w:eastAsia="宋体" w:cs="宋体"/>
          <w:kern w:val="0"/>
          <w:sz w:val="28"/>
          <w:szCs w:val="28"/>
          <w:highlight w:val="none"/>
        </w:rPr>
        <w:t>招标</w:t>
      </w:r>
      <w:r>
        <w:rPr>
          <w:rFonts w:hint="eastAsia" w:ascii="宋体" w:hAnsi="宋体" w:eastAsia="宋体" w:cs="宋体"/>
          <w:kern w:val="0"/>
          <w:sz w:val="28"/>
          <w:szCs w:val="28"/>
          <w:highlight w:val="none"/>
          <w:lang w:val="en-US" w:eastAsia="zh-CN"/>
        </w:rPr>
        <w:t>活动</w:t>
      </w:r>
      <w:r>
        <w:rPr>
          <w:rFonts w:hint="eastAsia" w:ascii="宋体" w:hAnsi="宋体" w:eastAsia="宋体" w:cs="宋体"/>
          <w:kern w:val="0"/>
          <w:sz w:val="28"/>
          <w:szCs w:val="28"/>
          <w:highlight w:val="none"/>
        </w:rPr>
        <w:t>。代理人在该</w:t>
      </w:r>
      <w:r>
        <w:rPr>
          <w:rFonts w:hint="eastAsia" w:ascii="宋体" w:hAnsi="宋体" w:eastAsia="宋体" w:cs="宋体"/>
          <w:kern w:val="0"/>
          <w:sz w:val="28"/>
          <w:szCs w:val="28"/>
          <w:highlight w:val="none"/>
          <w:lang w:val="en-US" w:eastAsia="zh-CN"/>
        </w:rPr>
        <w:t>项目</w:t>
      </w:r>
      <w:r>
        <w:rPr>
          <w:rFonts w:hint="eastAsia" w:ascii="宋体" w:hAnsi="宋体" w:eastAsia="宋体" w:cs="宋体"/>
          <w:kern w:val="0"/>
          <w:sz w:val="28"/>
          <w:szCs w:val="28"/>
          <w:highlight w:val="none"/>
        </w:rPr>
        <w:t>招标过程中所签署的一切文件及处理与之有关的一切事务，我方均予以承认并承担相关责任。</w:t>
      </w:r>
    </w:p>
    <w:p w14:paraId="7BC3853E">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370AC8F3">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75CE8CF0">
      <w:pPr>
        <w:spacing w:line="640" w:lineRule="atLeast"/>
        <w:jc w:val="left"/>
        <w:rPr>
          <w:rFonts w:hint="eastAsia" w:ascii="宋体" w:hAnsi="宋体" w:eastAsia="宋体" w:cs="宋体"/>
          <w:kern w:val="0"/>
          <w:sz w:val="28"/>
          <w:szCs w:val="28"/>
          <w:highlight w:val="none"/>
        </w:rPr>
      </w:pPr>
    </w:p>
    <w:p w14:paraId="7CF96D53">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(公章)</w:t>
      </w:r>
    </w:p>
    <w:p w14:paraId="4FAA9055">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(签字或盖章)</w:t>
      </w:r>
    </w:p>
    <w:p w14:paraId="2565D2CC">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488718927"/>
        </w:rPr>
        <w:t>身份证</w:t>
      </w:r>
      <w:r>
        <w:rPr>
          <w:rFonts w:hint="eastAsia" w:ascii="宋体" w:hAnsi="宋体" w:eastAsia="宋体" w:cs="宋体"/>
          <w:spacing w:val="2"/>
          <w:kern w:val="0"/>
          <w:sz w:val="28"/>
          <w:szCs w:val="28"/>
          <w:highlight w:val="none"/>
          <w:fitText w:val="1400" w:id="488718927"/>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1C2F79DB">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w:t>
      </w:r>
    </w:p>
    <w:p w14:paraId="633E3146">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688935720"/>
        </w:rPr>
        <w:t>身份证</w:t>
      </w:r>
      <w:r>
        <w:rPr>
          <w:rFonts w:hint="eastAsia" w:ascii="宋体" w:hAnsi="宋体" w:eastAsia="宋体" w:cs="宋体"/>
          <w:spacing w:val="2"/>
          <w:kern w:val="0"/>
          <w:sz w:val="28"/>
          <w:szCs w:val="28"/>
          <w:highlight w:val="none"/>
          <w:fitText w:val="1400" w:id="688935720"/>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57378A84">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5DE8C91E">
      <w:pPr>
        <w:spacing w:line="640" w:lineRule="atLeast"/>
        <w:ind w:firstLine="560"/>
        <w:jc w:val="left"/>
        <w:rPr>
          <w:rFonts w:hint="eastAsia" w:ascii="宋体" w:hAnsi="宋体" w:eastAsia="宋体" w:cs="宋体"/>
          <w:kern w:val="0"/>
          <w:sz w:val="28"/>
          <w:szCs w:val="28"/>
          <w:highlight w:val="none"/>
        </w:rPr>
      </w:pPr>
    </w:p>
    <w:p w14:paraId="73718711">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5BD32B03">
      <w:pPr>
        <w:jc w:val="both"/>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3DBDF5B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5B385205">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53661C48">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70E1216D">
      <w:pPr>
        <w:jc w:val="center"/>
        <w:rPr>
          <w:rFonts w:hint="eastAsia" w:ascii="宋体" w:hAnsi="宋体" w:eastAsia="宋体" w:cs="宋体"/>
          <w:kern w:val="0"/>
          <w:sz w:val="28"/>
          <w:szCs w:val="28"/>
          <w:highlight w:val="none"/>
        </w:rPr>
      </w:pPr>
    </w:p>
    <w:p w14:paraId="5B6800DD">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7A11C5E2">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52DC9485">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1B2A3734">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29E15403">
      <w:pPr>
        <w:pStyle w:val="7"/>
        <w:rPr>
          <w:rFonts w:hint="eastAsia" w:ascii="宋体" w:hAnsi="宋体" w:eastAsia="宋体" w:cs="宋体"/>
          <w:b/>
          <w:bCs/>
          <w:color w:val="auto"/>
          <w:sz w:val="36"/>
          <w:highlight w:val="none"/>
        </w:rPr>
      </w:pPr>
    </w:p>
    <w:p w14:paraId="4B9732C1">
      <w:pPr>
        <w:pStyle w:val="7"/>
        <w:rPr>
          <w:rFonts w:hint="eastAsia" w:ascii="宋体" w:hAnsi="宋体" w:eastAsia="宋体" w:cs="宋体"/>
          <w:b/>
          <w:bCs/>
          <w:color w:val="auto"/>
          <w:sz w:val="36"/>
          <w:highlight w:val="none"/>
        </w:rPr>
      </w:pPr>
    </w:p>
    <w:p w14:paraId="2F2E97CE">
      <w:pPr>
        <w:pStyle w:val="7"/>
        <w:rPr>
          <w:rFonts w:hint="eastAsia" w:ascii="宋体" w:hAnsi="宋体" w:eastAsia="宋体" w:cs="宋体"/>
          <w:b/>
          <w:bCs/>
          <w:color w:val="auto"/>
          <w:sz w:val="36"/>
          <w:highlight w:val="none"/>
        </w:rPr>
      </w:pPr>
    </w:p>
    <w:p w14:paraId="757964FB">
      <w:pPr>
        <w:pStyle w:val="7"/>
        <w:rPr>
          <w:rFonts w:hint="eastAsia" w:ascii="宋体" w:hAnsi="宋体" w:eastAsia="宋体" w:cs="宋体"/>
          <w:b/>
          <w:bCs/>
          <w:color w:val="auto"/>
          <w:sz w:val="36"/>
          <w:highlight w:val="none"/>
        </w:rPr>
      </w:pPr>
    </w:p>
    <w:p w14:paraId="1264F284">
      <w:pPr>
        <w:pStyle w:val="7"/>
        <w:rPr>
          <w:rFonts w:hint="eastAsia" w:ascii="宋体" w:hAnsi="宋体" w:eastAsia="宋体" w:cs="宋体"/>
          <w:b/>
          <w:bCs/>
          <w:color w:val="auto"/>
          <w:sz w:val="36"/>
          <w:highlight w:val="none"/>
        </w:rPr>
      </w:pPr>
    </w:p>
    <w:p w14:paraId="2C742821">
      <w:pPr>
        <w:pStyle w:val="7"/>
        <w:rPr>
          <w:rFonts w:hint="eastAsia" w:ascii="宋体" w:hAnsi="宋体" w:eastAsia="宋体" w:cs="宋体"/>
          <w:b/>
          <w:bCs/>
          <w:color w:val="auto"/>
          <w:sz w:val="36"/>
          <w:highlight w:val="none"/>
        </w:rPr>
      </w:pPr>
    </w:p>
    <w:p w14:paraId="64C34953">
      <w:pPr>
        <w:pStyle w:val="7"/>
        <w:rPr>
          <w:rFonts w:hint="eastAsia" w:ascii="宋体" w:hAnsi="宋体" w:eastAsia="宋体" w:cs="宋体"/>
          <w:b/>
          <w:bCs/>
          <w:color w:val="auto"/>
          <w:sz w:val="36"/>
          <w:highlight w:val="none"/>
        </w:rPr>
      </w:pPr>
    </w:p>
    <w:p w14:paraId="5893EE06">
      <w:pPr>
        <w:pStyle w:val="7"/>
        <w:rPr>
          <w:rFonts w:hint="eastAsia" w:ascii="宋体" w:hAnsi="宋体" w:eastAsia="宋体" w:cs="宋体"/>
          <w:b/>
          <w:bCs/>
          <w:color w:val="auto"/>
          <w:sz w:val="36"/>
          <w:highlight w:val="none"/>
        </w:rPr>
      </w:pPr>
    </w:p>
    <w:p w14:paraId="1EF065B1">
      <w:pPr>
        <w:pStyle w:val="7"/>
        <w:rPr>
          <w:rFonts w:hint="eastAsia" w:ascii="宋体" w:hAnsi="宋体" w:eastAsia="宋体" w:cs="宋体"/>
          <w:b/>
          <w:bCs/>
          <w:color w:val="auto"/>
          <w:sz w:val="36"/>
          <w:highlight w:val="none"/>
        </w:rPr>
      </w:pPr>
    </w:p>
    <w:p w14:paraId="66C0DCD7">
      <w:pPr>
        <w:pStyle w:val="7"/>
        <w:rPr>
          <w:rFonts w:hint="eastAsia" w:ascii="宋体" w:hAnsi="宋体" w:eastAsia="宋体" w:cs="宋体"/>
          <w:b/>
          <w:bCs/>
          <w:color w:val="auto"/>
          <w:sz w:val="36"/>
          <w:highlight w:val="none"/>
        </w:rPr>
      </w:pPr>
    </w:p>
    <w:p w14:paraId="08F7FC8F">
      <w:pPr>
        <w:pStyle w:val="7"/>
        <w:rPr>
          <w:rFonts w:hint="eastAsia" w:ascii="宋体" w:hAnsi="宋体" w:eastAsia="宋体" w:cs="宋体"/>
          <w:b/>
          <w:bCs/>
          <w:color w:val="auto"/>
          <w:sz w:val="36"/>
          <w:highlight w:val="none"/>
        </w:rPr>
      </w:pPr>
    </w:p>
    <w:p w14:paraId="629936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B27D0"/>
    <w:rsid w:val="7DC26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firstLine="420"/>
    </w:pPr>
    <w:rPr>
      <w:rFonts w:ascii="宋体"/>
      <w:sz w:val="24"/>
      <w:szCs w:val="20"/>
    </w:rPr>
  </w:style>
  <w:style w:type="paragraph" w:styleId="3">
    <w:name w:val="Body Text Indent"/>
    <w:basedOn w:val="1"/>
    <w:qFormat/>
    <w:uiPriority w:val="0"/>
    <w:pPr>
      <w:spacing w:after="120"/>
      <w:ind w:left="420" w:leftChars="200"/>
    </w:pPr>
    <w:rPr>
      <w:rFonts w:ascii="Calibri" w:hAnsi="Calibri" w:eastAsia="宋体" w:cs="Times New Roman"/>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4659</Words>
  <Characters>5543</Characters>
  <Lines>0</Lines>
  <Paragraphs>0</Paragraphs>
  <TotalTime>0</TotalTime>
  <ScaleCrop>false</ScaleCrop>
  <LinksUpToDate>false</LinksUpToDate>
  <CharactersWithSpaces>5996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2026-02-26T12:44:00Z</dcterms:created>
  <dc:creator>lpf</dc:creator>
  <cp:lastModifiedBy>李怀生</cp:lastModifiedBy>
  <dcterms:modified xsi:type="dcterms:W3CDTF">2026-05-19T04:09:06Z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F577841F28024283A13A002C113B258D_12</vt:lpwstr>
  </property>
</Properties>
</file>