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EE96A">
      <w:pPr>
        <w:pStyle w:val="2"/>
        <w:jc w:val="left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  <w:t xml:space="preserve">                  机械施工工程量清单   </w:t>
      </w:r>
    </w:p>
    <w:tbl>
      <w:tblPr>
        <w:tblStyle w:val="3"/>
        <w:tblpPr w:leftFromText="180" w:rightFromText="180" w:vertAnchor="text" w:horzAnchor="page" w:tblpX="1300" w:tblpY="771"/>
        <w:tblOverlap w:val="never"/>
        <w:tblW w:w="95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770"/>
        <w:gridCol w:w="5007"/>
        <w:gridCol w:w="597"/>
        <w:gridCol w:w="1180"/>
      </w:tblGrid>
      <w:tr w14:paraId="198A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9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62DF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63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AE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3B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FD5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8F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5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5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1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6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98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2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挖土、装车、内转、卸土、空回等相关工作，场内运输考虑1km。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570667.80 </w:t>
            </w:r>
          </w:p>
        </w:tc>
      </w:tr>
      <w:tr w14:paraId="26B0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A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9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C7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1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4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2E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3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0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41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7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6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D7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挖土、装车、运输、卸除及消纳、空回等相关工作，外弃考虑7km。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33000.00 </w:t>
            </w:r>
          </w:p>
        </w:tc>
      </w:tr>
      <w:tr w14:paraId="6EE3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0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3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A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A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3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B7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9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D3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F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7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1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CB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挖一般石方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挖石方、装车、内转、卸土、空回等相关工作，场内运输考虑1km。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128911.20 </w:t>
            </w:r>
          </w:p>
        </w:tc>
      </w:tr>
      <w:tr w14:paraId="3B8E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F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C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DD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4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9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4E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5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F8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5B6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5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0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64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6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E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D7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F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F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34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挖一般石方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挖石方、装车、运输、卸除及消纳、空回等相关工作，外弃考虑7km。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18000.00 </w:t>
            </w:r>
          </w:p>
        </w:tc>
      </w:tr>
      <w:tr w14:paraId="07D3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0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3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5F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4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B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3A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5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2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66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7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7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B4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E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7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6C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1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8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BA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土方回填、碾压等相关工作，不含土资源材料费。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293547.60 </w:t>
            </w:r>
          </w:p>
        </w:tc>
      </w:tr>
      <w:tr w14:paraId="030C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9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F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B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1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6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06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5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5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路基处理-拆除工程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3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5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50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B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拆除房屋地坪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拆除20cm混凝土。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1001.40 </w:t>
            </w:r>
          </w:p>
        </w:tc>
      </w:tr>
      <w:tr w14:paraId="3410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拆除混凝土路面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拆除24cm混凝土。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7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184.80 </w:t>
            </w:r>
          </w:p>
        </w:tc>
      </w:tr>
      <w:tr w14:paraId="3EF1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拆除沥青混凝土路面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拆除18cm沥青混凝土面层。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414.00 </w:t>
            </w:r>
          </w:p>
        </w:tc>
      </w:tr>
      <w:tr w14:paraId="7DC2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F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4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11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F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4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6E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拆除道路基层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拆除25cm混凝土。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414.00 </w:t>
            </w:r>
          </w:p>
        </w:tc>
      </w:tr>
      <w:tr w14:paraId="650E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拆除道路基层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拆除40cm水稳层。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D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414.00 </w:t>
            </w:r>
          </w:p>
        </w:tc>
      </w:tr>
      <w:tr w14:paraId="5AFE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1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拆除人行道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拆除5cm透水砖2.拆除20cm混凝土3.拆除20cm厚级配碎石。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379.80 </w:t>
            </w:r>
          </w:p>
        </w:tc>
      </w:tr>
      <w:tr w14:paraId="1AD8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7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0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ED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F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A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FF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9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A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D7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0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8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26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建筑垃圾弃置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建筑垃圾装车、运输、卸除及消纳、空回等相关工作，外弃考虑7km。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1167.23 </w:t>
            </w:r>
          </w:p>
        </w:tc>
      </w:tr>
      <w:tr w14:paraId="7F17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46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7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B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1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4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11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3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A2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路基处理-水塘清淤回填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6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2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9C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抽明水等相关工作。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32201.40 </w:t>
            </w:r>
          </w:p>
        </w:tc>
      </w:tr>
      <w:tr w14:paraId="7F89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2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D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F4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C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4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50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1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1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FC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D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A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54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水塘清淤（泥浆）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挖（抽）运淤泥(泥浆）、装车、运输、卸除及消纳、空回等相关工作，外弃考虑7km。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5582.40 </w:t>
            </w:r>
          </w:p>
        </w:tc>
      </w:tr>
      <w:tr w14:paraId="2D37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2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F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64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D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D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FA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7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4E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95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3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B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00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回填毛渣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毛渣分层回填、碾压等相关工作，满足设计和规范要求，不含毛渣材料费。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0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7698.00 </w:t>
            </w:r>
          </w:p>
        </w:tc>
      </w:tr>
      <w:tr w14:paraId="752A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3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B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8F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7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6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79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4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016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土方分层回填、碾压等相关工作，满足设计和规范要求，不含土资源材料费。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24223.20 </w:t>
            </w:r>
          </w:p>
        </w:tc>
      </w:tr>
      <w:tr w14:paraId="52EE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4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4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53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A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5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AD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017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袋土围堰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1.填方材料品种:筑土围堰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2.填方来源、运距:利用挖运来土方，不含土资源材料费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3.拆除清理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1236.60 </w:t>
            </w:r>
          </w:p>
        </w:tc>
      </w:tr>
      <w:tr w14:paraId="0E6E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E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3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B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5B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C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87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0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8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7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路基处理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6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0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77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挖淤泥质素填土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1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挖淤泥质素填土、装车、运输、卸除及消纳、空回等相关工作，外弃考虑7km。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10275.00 </w:t>
            </w:r>
          </w:p>
        </w:tc>
      </w:tr>
      <w:tr w14:paraId="54F3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1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A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A1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1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EE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71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回填毛渣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毛渣分层回填、碾压等相关工作，满足设计和规范要求，不含毛渣材料费。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10275.00 </w:t>
            </w:r>
          </w:p>
        </w:tc>
      </w:tr>
      <w:tr w14:paraId="4E1F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E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A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E5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B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0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EE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D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挖耕植土、杂填土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挖耕植土、杂填土、装车、运输、卸除及消纳、空回等相关工作，外弃考虑7km，超出运距费用自行承担。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56419.80 </w:t>
            </w:r>
          </w:p>
        </w:tc>
      </w:tr>
      <w:tr w14:paraId="20BF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F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A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2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7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4C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5B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4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3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7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7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2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960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021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土方分层回填、碾压等相关工作，满足设计和规范要求，不含土资源材料费。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56419.80 </w:t>
            </w:r>
          </w:p>
        </w:tc>
      </w:tr>
      <w:tr w14:paraId="12C7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9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D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DF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3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F1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86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挖路槽土方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按要求开挖粉质黏土。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10474.20 </w:t>
            </w:r>
          </w:p>
        </w:tc>
      </w:tr>
      <w:tr w14:paraId="7FE6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023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掺石灰回填土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1.利用原状土掺8%生石灰处理后回填，不含生石灰材料费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2.消解石灰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B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10474.20 </w:t>
            </w:r>
          </w:p>
        </w:tc>
      </w:tr>
      <w:tr w14:paraId="524B4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4F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6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D9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7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A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EF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024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挖路槽石方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挖石方、装车、内转等相关工作，场内运输考虑1km，超出运距费用自行承担。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6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3212.40 </w:t>
            </w:r>
          </w:p>
        </w:tc>
      </w:tr>
      <w:tr w14:paraId="179A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C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D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E7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5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8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B1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A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7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04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8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3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51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E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B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0D9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0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4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BA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回填碎石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碎石分层回填、碾压等相关工作，满足设计和规范要求，不含碎石材料费。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3212.40 </w:t>
            </w:r>
          </w:p>
        </w:tc>
      </w:tr>
      <w:tr w14:paraId="2D1A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1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B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4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E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6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24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D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C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路面工程-机动车道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7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6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E2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026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F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路床碾压、整平等相关工作。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88726.80 </w:t>
            </w:r>
          </w:p>
        </w:tc>
      </w:tr>
      <w:tr w14:paraId="2662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B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D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F9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81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6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42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027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路基碎石垫层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1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清底、备料、场内运输、 摊铺、洒水、找平、夯实等相关工作，满足设计及规范要求，不含碎石材料费。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88726.80 </w:t>
            </w:r>
          </w:p>
        </w:tc>
      </w:tr>
      <w:tr w14:paraId="4671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6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8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E9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8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F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2E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水泥稳定碎石基层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清底、摊铺、洒水、养护等相关工作，满足设计及规范要求，不含水泥稳定碎石材料费。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85470.00 </w:t>
            </w:r>
          </w:p>
        </w:tc>
      </w:tr>
      <w:tr w14:paraId="09DB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C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F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3F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57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4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96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4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3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9B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7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F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D5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7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9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B8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B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8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F0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水泥稳定碎石基层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清底、摊铺、洒水、养护等相关工作，满足设计及规范要求，不含水泥稳定碎石材料费。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82444.20 </w:t>
            </w:r>
          </w:p>
        </w:tc>
      </w:tr>
      <w:tr w14:paraId="256B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B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1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9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2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A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2F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F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6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0F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D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1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98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0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9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D1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0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8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B5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水泥稳定碎石基层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清底、摊铺、洒水、养护等相关工作，满足设计及规范要求，不含水泥稳定碎石材料费。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77218.80 </w:t>
            </w:r>
          </w:p>
        </w:tc>
      </w:tr>
      <w:tr w14:paraId="7EF1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B7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C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F0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3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E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A7F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B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5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EC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B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7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96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0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B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28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B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0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69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封层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清底、封层材料配置、喷洒施工等相关工作，满足设计及规范要求，不含乳化沥青、中粗砂、石屑材料费。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72601.20 </w:t>
            </w:r>
          </w:p>
        </w:tc>
      </w:tr>
      <w:tr w14:paraId="4933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A9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5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4E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1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B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FB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6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透层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清底、备料、喷洒施工等相关工作，满足设计及规范要求，不含乳化沥青材料费。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72601.20 </w:t>
            </w:r>
          </w:p>
        </w:tc>
      </w:tr>
      <w:tr w14:paraId="445B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033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清底、备料、摊铺、碾压等相关工作，满足设计及规范要求，不含沥青混凝土材料费。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72601.20 </w:t>
            </w:r>
          </w:p>
        </w:tc>
      </w:tr>
      <w:tr w14:paraId="77DD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4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8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04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7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1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AC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0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粘层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清底、备料、喷洒施工等相关工作，满足设计及规范要求，不含乳化沥青材料费。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72601.20 </w:t>
            </w:r>
          </w:p>
        </w:tc>
      </w:tr>
      <w:tr w14:paraId="77B9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035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清底、备料、摊铺、碾压等相关工作，满足设计及规范要求，不含沥青混凝土材料费。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72601.20 </w:t>
            </w:r>
          </w:p>
        </w:tc>
      </w:tr>
      <w:tr w14:paraId="7282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F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C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65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4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2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8A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粘层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清底、备料、喷洒施工等相关工作，满足设计及规范要求，不含乳化沥青材料费。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72601.20 </w:t>
            </w:r>
          </w:p>
        </w:tc>
      </w:tr>
      <w:tr w14:paraId="6FB3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037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5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清底、备料、摊铺、碾压等相关工作，满足设计及规范要求，不含沥青混凝土材料费。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72601.20 </w:t>
            </w:r>
          </w:p>
        </w:tc>
      </w:tr>
      <w:tr w14:paraId="069C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3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4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F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B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A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E6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038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铣刨路面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路面铣刨、清理及装车等相关工作，满足设计及规范要求。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7788.00 </w:t>
            </w:r>
          </w:p>
        </w:tc>
      </w:tr>
      <w:tr w14:paraId="2CD6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6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0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7C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6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7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50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039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建筑垃圾弃置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建筑垃圾装车、运输、卸除及消纳、空回等相关工作，外弃考虑7km。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467.28 </w:t>
            </w:r>
          </w:p>
        </w:tc>
      </w:tr>
      <w:tr w14:paraId="061E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E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8A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3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5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6F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E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加铺沥青混凝土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清底、备料、摊铺、碾压等相关工作，满足设计及规范要求，不含沥青混凝土材料费。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7788.00 </w:t>
            </w:r>
          </w:p>
        </w:tc>
      </w:tr>
      <w:tr w14:paraId="195E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D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9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24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A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8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C8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粘层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粘层油（PC-3型乳化沥青），清底、备料、喷洒施工等相关工作，满足设计及规范要求，不含乳化沥青材料费。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7788.00 </w:t>
            </w:r>
          </w:p>
        </w:tc>
      </w:tr>
      <w:tr w14:paraId="2FC8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C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E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路面工程-人行道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7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A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F8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路床碾压、整平等相关工作。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8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19975.56 </w:t>
            </w:r>
          </w:p>
        </w:tc>
      </w:tr>
      <w:tr w14:paraId="0B14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043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8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路基碎石垫层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20cm厚透水级配碎石垫层，清底、备料、场内运输、 摊铺、洒水、找平、夯实等相关工作，满足设计及规范要求，不含碎石材料费。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19975.56 </w:t>
            </w:r>
          </w:p>
        </w:tc>
      </w:tr>
      <w:tr w14:paraId="0170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1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7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41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3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5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02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6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F1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路面工程-非机动车道（透水段）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1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7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C2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044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非机动车道整形碾压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路床碾压、整平等相关工作。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17665.20 </w:t>
            </w:r>
          </w:p>
        </w:tc>
      </w:tr>
      <w:tr w14:paraId="4F7A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A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A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CD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7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B4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2B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路基碎石垫层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20cm厚透水级配碎石垫层，清底、备料、场内运输、 摊铺、洒水、找平、夯实等相关工作，满足设计及规范要求，不含碎石材料费。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17665.20 </w:t>
            </w:r>
          </w:p>
        </w:tc>
      </w:tr>
      <w:tr w14:paraId="66FF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5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E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262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7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2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C2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粘层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粘层油（PC-3型乳化沥青），清底、备料、喷洒施工等相关工作，满足设计及规范要求，不含乳化沥青材料费。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16059.00 </w:t>
            </w:r>
          </w:p>
        </w:tc>
      </w:tr>
      <w:tr w14:paraId="4EDA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047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5cm厚PAC-16中粒式透水沥青混凝土，清底、备料、摊铺、碾压等相关工作，满足设计及规范要求，不含沥青混凝土材料费。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16059.00 </w:t>
            </w:r>
          </w:p>
        </w:tc>
      </w:tr>
      <w:tr w14:paraId="42DA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C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D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76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1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0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A2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粘层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粘层油（PC-3型乳化沥青），清底、备料、喷洒施工等相关工作，满足设计及规范要求，不含乳化沥青材料费。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16059.00 </w:t>
            </w:r>
          </w:p>
        </w:tc>
      </w:tr>
      <w:tr w14:paraId="1F91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049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4cm厚PAC-13细粒式透水沥青混凝土，清底、备料、摊铺、碾压等相关工作，满足设计及规范要求，不含沥青混凝土材料费。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16059.00 </w:t>
            </w:r>
          </w:p>
        </w:tc>
      </w:tr>
      <w:tr w14:paraId="6766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3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69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E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A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8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DE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7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D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路面工程-一般边坡支护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A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1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9C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种植土回填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一般植草护坡、格构梁护坡、三维植被网护坡等区域回填10cm厚好土（人工回填），运距7km，分层回填压实等相关工作，满足设计及规范要求，不含土资源材料费。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6180.72 </w:t>
            </w:r>
          </w:p>
        </w:tc>
      </w:tr>
      <w:tr w14:paraId="0A51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051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护脚挡墙和边坡平台截水沟、排水沟、人字形衬砌拱骨架等挖沟槽土方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挖土、装车、内转、空回等相关工作，场内运输考虑1km。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2853.00 </w:t>
            </w:r>
          </w:p>
        </w:tc>
      </w:tr>
      <w:tr w14:paraId="7911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0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F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2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C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6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0E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F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2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1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A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2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E08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5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9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路面工程-高边坡支护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2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3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92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052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挖沟槽石方（格构梁和挡墙沟槽）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挖石方、装车、内转、空回等相关工作，场内运输考虑1km。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1212.42 </w:t>
            </w:r>
          </w:p>
        </w:tc>
      </w:tr>
      <w:tr w14:paraId="617C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C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1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8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6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9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D2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8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8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9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4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D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D5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B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A0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B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0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1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19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E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4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便道工程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E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C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7B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D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便道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30cm毛渣便道新建，清底、摊铺、洒水、养护等相关工作，满足设计及规范要求，不含毛渣材料费。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14688.00 </w:t>
            </w:r>
          </w:p>
        </w:tc>
      </w:tr>
      <w:tr w14:paraId="4B06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6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B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DE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5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4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BB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2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F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97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AC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9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A2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054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便道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30cm再生碎石便道新建，清底、摊铺、洒水、养护等相关工作，满足设计及规范要求，不含再生碎石材料费。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14688.00 </w:t>
            </w:r>
          </w:p>
        </w:tc>
      </w:tr>
      <w:tr w14:paraId="3608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C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8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C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E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D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45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F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F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C5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2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3F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A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4B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99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7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17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（机械）挖沟槽土方（支护桩沟槽）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挖土、装车、运输、卸除及消纳、空回等相关工作，外弃考虑7km。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2184.00 </w:t>
            </w:r>
          </w:p>
        </w:tc>
      </w:tr>
      <w:tr w14:paraId="2D65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7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3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B9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2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C4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36C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2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2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39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7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6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1A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056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（机械）挖沟槽土方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挖土、装车、运输、卸除及消纳、空回等相关工作，外弃考虑7km。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15900.00 </w:t>
            </w:r>
          </w:p>
        </w:tc>
      </w:tr>
      <w:tr w14:paraId="5E23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8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5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15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D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D3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A6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5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0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BF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C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C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C5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7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（人工配合）挖沟槽土方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人机配合挖土、装车、运输、卸除及消纳、空回等相关工作，外弃考虑7km。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1767.00 </w:t>
            </w:r>
          </w:p>
        </w:tc>
      </w:tr>
      <w:tr w14:paraId="1835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5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1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C0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43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4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89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058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（机械）挖沟槽土方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挖土、装车、内转等相关工作，场内运输考虑1km。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137373.00 </w:t>
            </w:r>
          </w:p>
        </w:tc>
      </w:tr>
      <w:tr w14:paraId="64CA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B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B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89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3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D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31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D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B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43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7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5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BA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059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（人工配合）挖沟槽土方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人机配合挖土、装车、内转等相关工作，场内运输考虑1km。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15000.00 </w:t>
            </w:r>
          </w:p>
        </w:tc>
      </w:tr>
      <w:tr w14:paraId="4AE9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2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B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70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2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1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3F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060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挖沟槽石方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挖石方、装车、运输、卸除及消纳、空回等相关工作，外弃考虑7km。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22295.40 </w:t>
            </w:r>
          </w:p>
        </w:tc>
      </w:tr>
      <w:tr w14:paraId="24B8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B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2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C7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7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FF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48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2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D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22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F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2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92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0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C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03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0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A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28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061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挖沟槽石方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挖石方、装车、内转等相关工作，场内运输考虑1km。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17626.20 </w:t>
            </w:r>
          </w:p>
        </w:tc>
      </w:tr>
      <w:tr w14:paraId="19C8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0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C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F4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F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8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70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4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B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AC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2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97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3A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8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5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27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B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A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6A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062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挖土、装车、内转等相关工作，场内运输考虑1km。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92544.00 </w:t>
            </w:r>
          </w:p>
        </w:tc>
      </w:tr>
      <w:tr w14:paraId="05D7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0E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B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8C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8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1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34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D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6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94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66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5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8A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063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沟槽掺石灰回填土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4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土方掺6%生石灰处理后分层回填、碾压等相关工作，满足设计和规范要求，不含生石灰材料费。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92544.00 </w:t>
            </w:r>
          </w:p>
        </w:tc>
      </w:tr>
      <w:tr w14:paraId="549C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D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4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54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A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5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6D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064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利用开挖料回填沟槽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土方分层回填、碾压等相关工作，满足设计和规范要求，不含土资源材料费。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92544.00 </w:t>
            </w:r>
          </w:p>
        </w:tc>
      </w:tr>
      <w:tr w14:paraId="292C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E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7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8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C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E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AA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7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E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A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6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8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1D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B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9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现状管道改造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C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3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ED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065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建筑垃圾弃置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建筑垃圾装车、运输、卸除及消纳、空回等相关工作，外弃考虑7km。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10.80 </w:t>
            </w:r>
          </w:p>
        </w:tc>
      </w:tr>
      <w:tr w14:paraId="1DC2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0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7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6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3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E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AA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C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8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电力、电信工程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F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0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78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3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C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电力群管部分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3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3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50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066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挖沟槽土方（机械）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9080.40 </w:t>
            </w:r>
          </w:p>
        </w:tc>
      </w:tr>
      <w:tr w14:paraId="258F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3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C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1A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D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D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61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渣土装车、运输、卸除及消纳、空回等相关工作，外弃考虑7km。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4533.00 </w:t>
            </w:r>
          </w:p>
        </w:tc>
      </w:tr>
      <w:tr w14:paraId="0FCC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B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7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电信群管部分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9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3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97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068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挖沟槽土方（机械）</w:t>
            </w:r>
          </w:p>
        </w:tc>
        <w:tc>
          <w:tcPr>
            <w:tcW w:w="5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9114.60 </w:t>
            </w:r>
          </w:p>
        </w:tc>
      </w:tr>
      <w:tr w14:paraId="2C78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8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4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12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3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A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8A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渣土装车、运输、卸除及消纳、空回等相关工作，外弃考虑7km。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5502.00 </w:t>
            </w:r>
          </w:p>
        </w:tc>
      </w:tr>
      <w:tr w14:paraId="301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E0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 明：1.按甲方图纸要求进行施工，按图示尺寸以m³、㎡据实结算，以甲方负责人签认的工程量为准。上表单价应包括但不限于：租赁期间，所投入机械设备、燃油、水电费、液压油、附属油、其他维修保养费用、进出场费、利润、增值税（专票）税金等费用，外运弃土场消纳费、安全防护、保险费、作业质量缺陷修复、操作人员工资、现场食宿、人身意外险、环保、治安管理等费用，以及合同明示或暗示的所有责任、义务和一般风险等。泥浆外运弃土场由乙方寻找符合甲方及本工程建设方要求的弃土场，并办理相关审批许可，外弃运距考虑7km，内转运距考虑1km，超出运距费用另行协商签订补充协议。土、毛渣、石灰、沥青混凝土、商品混凝土、碎石、水泥稳定碎石、中粗砂、石屑、乳化沥青等主材由甲方提供。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乙方按甲方施工进度要求准备相应施工机械设备，机械设备投入最低要求详见设备表附件二。</w:t>
            </w:r>
          </w:p>
        </w:tc>
      </w:tr>
    </w:tbl>
    <w:p w14:paraId="78D8B1BD">
      <w:pPr>
        <w:pStyle w:val="5"/>
        <w:ind w:firstLine="480"/>
        <w:rPr>
          <w:rFonts w:ascii="宋体" w:hAnsi="宋体"/>
          <w:color w:val="auto"/>
          <w:sz w:val="24"/>
        </w:rPr>
      </w:pPr>
    </w:p>
    <w:p w14:paraId="7CD11DA2">
      <w:pPr>
        <w:pStyle w:val="5"/>
        <w:ind w:firstLine="480"/>
        <w:rPr>
          <w:rFonts w:ascii="宋体" w:hAnsi="宋体"/>
          <w:color w:val="auto"/>
          <w:sz w:val="24"/>
        </w:rPr>
      </w:pPr>
    </w:p>
    <w:p w14:paraId="1F3FE078">
      <w:pPr>
        <w:pStyle w:val="5"/>
        <w:ind w:firstLine="480"/>
        <w:rPr>
          <w:rFonts w:ascii="宋体" w:hAnsi="宋体"/>
          <w:color w:val="auto"/>
          <w:sz w:val="24"/>
        </w:rPr>
      </w:pPr>
    </w:p>
    <w:p w14:paraId="4D0D8E5A">
      <w:pPr>
        <w:pStyle w:val="5"/>
        <w:ind w:firstLine="480"/>
        <w:rPr>
          <w:rFonts w:ascii="宋体" w:hAnsi="宋体"/>
          <w:color w:val="auto"/>
          <w:sz w:val="24"/>
        </w:rPr>
      </w:pPr>
    </w:p>
    <w:p w14:paraId="10E8B437">
      <w:pPr>
        <w:pStyle w:val="5"/>
        <w:ind w:firstLine="480"/>
        <w:rPr>
          <w:rFonts w:ascii="宋体" w:hAnsi="宋体"/>
          <w:color w:val="auto"/>
          <w:sz w:val="24"/>
        </w:rPr>
      </w:pPr>
    </w:p>
    <w:p w14:paraId="1051F538">
      <w:pPr>
        <w:pStyle w:val="5"/>
        <w:ind w:firstLine="480"/>
        <w:rPr>
          <w:rFonts w:ascii="宋体" w:hAnsi="宋体"/>
          <w:color w:val="auto"/>
          <w:sz w:val="24"/>
        </w:rPr>
      </w:pPr>
    </w:p>
    <w:p w14:paraId="1FA7ACDD">
      <w:pPr>
        <w:pStyle w:val="5"/>
        <w:ind w:firstLine="480"/>
        <w:rPr>
          <w:rFonts w:ascii="宋体" w:hAnsi="宋体"/>
          <w:color w:val="auto"/>
          <w:sz w:val="24"/>
        </w:rPr>
      </w:pPr>
    </w:p>
    <w:p w14:paraId="1EC94DF6">
      <w:pPr>
        <w:pStyle w:val="2"/>
        <w:jc w:val="left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  <w:t xml:space="preserve">      </w:t>
      </w:r>
    </w:p>
    <w:p w14:paraId="56155E3B">
      <w:pPr>
        <w:pStyle w:val="2"/>
        <w:jc w:val="center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  <w:t>最低投入设备表</w:t>
      </w:r>
    </w:p>
    <w:tbl>
      <w:tblPr>
        <w:tblStyle w:val="3"/>
        <w:tblW w:w="80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601"/>
        <w:gridCol w:w="2778"/>
        <w:gridCol w:w="1510"/>
      </w:tblGrid>
      <w:tr w14:paraId="0AE6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F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机械名称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733F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6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挖斗≥1m³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653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2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不小于75kw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D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982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A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D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自卸汽车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箱体容量≥10m³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553C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0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洒水车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箱体容量≥10m³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8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51A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A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D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1C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岩石破碎机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含液压锤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D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E2F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7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钢轮/轮胎压路机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8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EE2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6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轮胎式装载机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斗容量≥1.5m³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5F5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F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电动单级离心清水泵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出口直径不小于100mm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CD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D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泥浆泵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F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出口直径不小于100mm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C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A2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1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出口直径不小于100mm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07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泥浆罐车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箱体容量≥5000L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F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80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2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电动夯实机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夯击能量不小于250Nm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09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驳船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≥50t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E9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8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0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平地机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≥90kw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0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97B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摊铺机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9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156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5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稀浆封层机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B0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沥青运输机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箱体容量≥4000L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35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汽车式沥青喷洒机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箱体容量≥4000L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4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61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C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路面铣刨机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宽度 2000mm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F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F1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F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注明：以上设备种类及数量为施工时为满足现场施工进度的最低投入要求，乙方应根据甲方要求随时增加设备种类和数量。</w:t>
            </w:r>
          </w:p>
        </w:tc>
      </w:tr>
    </w:tbl>
    <w:p w14:paraId="4F47BFD3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66E4BA44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6658ECEA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373F8E4E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01523672">
      <w:pPr>
        <w:spacing w:line="360" w:lineRule="auto"/>
        <w:jc w:val="left"/>
        <w:rPr>
          <w:rFonts w:hint="eastAsia" w:ascii="宋体" w:hAnsi="宋体" w:eastAsia="宋体" w:cs="宋体"/>
          <w:sz w:val="30"/>
          <w:highlight w:val="none"/>
        </w:rPr>
      </w:pPr>
      <w:r>
        <w:rPr>
          <w:rFonts w:hint="eastAsia" w:ascii="宋体" w:hAnsi="宋体" w:eastAsia="宋体" w:cs="宋体"/>
          <w:sz w:val="30"/>
          <w:highlight w:val="none"/>
        </w:rPr>
        <w:t>附件</w:t>
      </w:r>
      <w:r>
        <w:rPr>
          <w:rFonts w:hint="eastAsia" w:ascii="宋体" w:hAnsi="宋体" w:eastAsia="宋体" w:cs="宋体"/>
          <w:sz w:val="30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highlight w:val="none"/>
        </w:rPr>
        <w:t>、</w:t>
      </w:r>
    </w:p>
    <w:p w14:paraId="7BCC358D">
      <w:pPr>
        <w:jc w:val="center"/>
        <w:rPr>
          <w:rFonts w:hint="eastAsia" w:ascii="宋体" w:hAnsi="宋体" w:eastAsia="宋体" w:cs="宋体"/>
          <w:b/>
          <w:sz w:val="32"/>
          <w:highlight w:val="none"/>
        </w:rPr>
      </w:pPr>
      <w:r>
        <w:rPr>
          <w:rFonts w:hint="eastAsia" w:ascii="宋体" w:hAnsi="宋体" w:eastAsia="宋体" w:cs="宋体"/>
          <w:b/>
          <w:sz w:val="40"/>
          <w:highlight w:val="none"/>
        </w:rPr>
        <w:t>法定代表人身份证明书</w:t>
      </w:r>
    </w:p>
    <w:p w14:paraId="54CAA95C">
      <w:pPr>
        <w:rPr>
          <w:rFonts w:hint="eastAsia" w:ascii="宋体" w:hAnsi="宋体" w:eastAsia="宋体" w:cs="宋体"/>
          <w:sz w:val="28"/>
          <w:highlight w:val="none"/>
        </w:rPr>
      </w:pPr>
    </w:p>
    <w:p w14:paraId="691D97C1">
      <w:pPr>
        <w:spacing w:line="360" w:lineRule="auto"/>
        <w:rPr>
          <w:rFonts w:hint="eastAsia" w:ascii="宋体" w:hAnsi="宋体" w:eastAsia="宋体" w:cs="宋体"/>
          <w:sz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highlight w:val="none"/>
        </w:rPr>
        <w:t>单位名称：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                                 </w:t>
      </w:r>
    </w:p>
    <w:p w14:paraId="289CF84D">
      <w:pPr>
        <w:spacing w:line="360" w:lineRule="auto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单位性质：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                                 </w:t>
      </w:r>
    </w:p>
    <w:p w14:paraId="488B6F54">
      <w:pPr>
        <w:spacing w:line="360" w:lineRule="auto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地    址：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                                 </w:t>
      </w:r>
    </w:p>
    <w:p w14:paraId="4BE97B98">
      <w:pPr>
        <w:spacing w:line="360" w:lineRule="auto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成立时间：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highlight w:val="none"/>
        </w:rPr>
        <w:t>日</w:t>
      </w:r>
    </w:p>
    <w:p w14:paraId="56E03019">
      <w:pPr>
        <w:spacing w:line="360" w:lineRule="auto"/>
        <w:rPr>
          <w:rFonts w:hint="eastAsia" w:ascii="宋体" w:hAnsi="宋体" w:eastAsia="宋体" w:cs="宋体"/>
          <w:sz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highlight w:val="none"/>
        </w:rPr>
        <w:t>经营期限：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                                 </w:t>
      </w:r>
    </w:p>
    <w:p w14:paraId="7A2BF1F3">
      <w:pPr>
        <w:spacing w:line="360" w:lineRule="auto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姓    名：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highlight w:val="none"/>
        </w:rPr>
        <w:t>性别：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highlight w:val="none"/>
        </w:rPr>
        <w:t>年龄：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highlight w:val="none"/>
        </w:rPr>
        <w:t>职务：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</w:t>
      </w:r>
    </w:p>
    <w:p w14:paraId="4C131B9D">
      <w:pPr>
        <w:spacing w:line="360" w:lineRule="auto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系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highlight w:val="none"/>
        </w:rPr>
        <w:t>(投标人名称)的法定代表人。</w:t>
      </w:r>
    </w:p>
    <w:p w14:paraId="2B8EFC72">
      <w:pPr>
        <w:spacing w:line="360" w:lineRule="auto"/>
        <w:ind w:firstLine="570"/>
        <w:rPr>
          <w:rFonts w:hint="eastAsia" w:ascii="宋体" w:hAnsi="宋体" w:eastAsia="宋体" w:cs="宋体"/>
          <w:sz w:val="28"/>
          <w:highlight w:val="none"/>
        </w:rPr>
      </w:pPr>
    </w:p>
    <w:p w14:paraId="65FF5632">
      <w:pPr>
        <w:spacing w:line="360" w:lineRule="auto"/>
        <w:ind w:firstLine="570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特此证明。</w:t>
      </w:r>
    </w:p>
    <w:p w14:paraId="716DA840">
      <w:pPr>
        <w:rPr>
          <w:rFonts w:hint="eastAsia" w:ascii="宋体" w:hAnsi="宋体" w:eastAsia="宋体" w:cs="宋体"/>
          <w:sz w:val="28"/>
          <w:highlight w:val="none"/>
        </w:rPr>
      </w:pPr>
    </w:p>
    <w:p w14:paraId="48AEC492">
      <w:pPr>
        <w:rPr>
          <w:rFonts w:hint="eastAsia" w:ascii="宋体" w:hAnsi="宋体" w:eastAsia="宋体" w:cs="宋体"/>
          <w:sz w:val="28"/>
          <w:highlight w:val="none"/>
        </w:rPr>
      </w:pPr>
    </w:p>
    <w:p w14:paraId="0FF2D3BA">
      <w:pPr>
        <w:ind w:firstLine="2940" w:firstLineChars="1050"/>
        <w:jc w:val="left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投标人：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>(全称,公章)</w:t>
      </w:r>
    </w:p>
    <w:p w14:paraId="05E735C2">
      <w:pPr>
        <w:spacing w:line="451" w:lineRule="atLeast"/>
        <w:ind w:firstLine="2940" w:firstLineChars="10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日  期：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highlight w:val="none"/>
        </w:rPr>
        <w:t>日</w:t>
      </w:r>
    </w:p>
    <w:p w14:paraId="781044C2">
      <w:pPr>
        <w:spacing w:line="451" w:lineRule="atLeast"/>
        <w:jc w:val="center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</w:p>
    <w:p w14:paraId="5B58F738">
      <w:pPr>
        <w:spacing w:line="451" w:lineRule="atLeas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附：法定代表人身份证复印件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7422C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2EDDA84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67765F33">
            <w:pPr>
              <w:jc w:val="center"/>
              <w:rPr>
                <w:rFonts w:hint="eastAsia" w:ascii="宋体" w:hAnsi="宋体" w:eastAsia="宋体" w:cs="宋体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4CFB467D">
      <w:pPr>
        <w:jc w:val="center"/>
        <w:rPr>
          <w:rFonts w:hint="eastAsia" w:ascii="宋体" w:hAnsi="宋体" w:eastAsia="宋体" w:cs="宋体"/>
          <w:b/>
          <w:sz w:val="32"/>
          <w:highlight w:val="none"/>
        </w:rPr>
      </w:pPr>
      <w:r>
        <w:rPr>
          <w:rFonts w:hint="eastAsia" w:ascii="宋体" w:hAnsi="宋体" w:eastAsia="宋体" w:cs="宋体"/>
          <w:b/>
          <w:sz w:val="32"/>
          <w:highlight w:val="none"/>
        </w:rPr>
        <w:br w:type="page"/>
      </w:r>
      <w:r>
        <w:rPr>
          <w:rFonts w:hint="eastAsia" w:ascii="宋体" w:hAnsi="宋体" w:eastAsia="宋体" w:cs="宋体"/>
          <w:b/>
          <w:sz w:val="40"/>
          <w:highlight w:val="none"/>
        </w:rPr>
        <w:t>授权委托书</w:t>
      </w:r>
    </w:p>
    <w:p w14:paraId="779DF840">
      <w:pPr>
        <w:spacing w:line="640" w:lineRule="atLeast"/>
        <w:ind w:firstLine="56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本授权委托书声明：我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(姓名)系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(投标人名称)的法定代表人，现授权委托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(姓名)为本公司的合法代理人，以本公司名义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(招标项目名称)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招标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活动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。代理人在该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招标过程中所签署的一切文件及处理与之有关的一切事务，我方均予以承认并承担相关责任。</w:t>
      </w:r>
    </w:p>
    <w:p w14:paraId="390A2316">
      <w:pPr>
        <w:spacing w:line="640" w:lineRule="atLeast"/>
        <w:ind w:firstLine="56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代理人无转委托权。</w:t>
      </w:r>
    </w:p>
    <w:p w14:paraId="0CE2A833">
      <w:pPr>
        <w:spacing w:line="640" w:lineRule="atLeast"/>
        <w:ind w:firstLine="56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特此委托。</w:t>
      </w:r>
    </w:p>
    <w:p w14:paraId="58AE3E09">
      <w:pPr>
        <w:spacing w:line="640" w:lineRule="atLeas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</w:p>
    <w:p w14:paraId="15B63C6D">
      <w:pPr>
        <w:spacing w:line="640" w:lineRule="atLeast"/>
        <w:ind w:firstLine="3780"/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投  标  人：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(全称,公章)</w:t>
      </w:r>
    </w:p>
    <w:p w14:paraId="1A426B62">
      <w:pPr>
        <w:spacing w:line="640" w:lineRule="atLeast"/>
        <w:ind w:firstLine="378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 (签字或盖章)</w:t>
      </w:r>
    </w:p>
    <w:p w14:paraId="02660D7A">
      <w:pPr>
        <w:spacing w:line="640" w:lineRule="atLeast"/>
        <w:ind w:firstLine="378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46"/>
          <w:kern w:val="0"/>
          <w:sz w:val="28"/>
          <w:szCs w:val="28"/>
          <w:highlight w:val="none"/>
          <w:fitText w:val="1400" w:id="569473954"/>
        </w:rPr>
        <w:t>身份证</w:t>
      </w:r>
      <w:r>
        <w:rPr>
          <w:rFonts w:hint="eastAsia" w:ascii="宋体" w:hAnsi="宋体" w:eastAsia="宋体" w:cs="宋体"/>
          <w:spacing w:val="2"/>
          <w:kern w:val="0"/>
          <w:sz w:val="28"/>
          <w:szCs w:val="28"/>
          <w:highlight w:val="none"/>
          <w:fitText w:val="1400" w:id="569473954"/>
        </w:rPr>
        <w:t>号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             </w:t>
      </w:r>
    </w:p>
    <w:p w14:paraId="51F8392D">
      <w:pPr>
        <w:spacing w:line="640" w:lineRule="atLeast"/>
        <w:ind w:firstLine="378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委托代理人：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(签字)</w:t>
      </w:r>
    </w:p>
    <w:p w14:paraId="5969FE15">
      <w:pPr>
        <w:spacing w:line="640" w:lineRule="atLeast"/>
        <w:ind w:firstLine="378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46"/>
          <w:kern w:val="0"/>
          <w:sz w:val="28"/>
          <w:szCs w:val="28"/>
          <w:highlight w:val="none"/>
          <w:fitText w:val="1400" w:id="606483900"/>
        </w:rPr>
        <w:t>身份证</w:t>
      </w:r>
      <w:r>
        <w:rPr>
          <w:rFonts w:hint="eastAsia" w:ascii="宋体" w:hAnsi="宋体" w:eastAsia="宋体" w:cs="宋体"/>
          <w:spacing w:val="2"/>
          <w:kern w:val="0"/>
          <w:sz w:val="28"/>
          <w:szCs w:val="28"/>
          <w:highlight w:val="none"/>
          <w:fitText w:val="1400" w:id="606483900"/>
        </w:rPr>
        <w:t>号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            </w:t>
      </w:r>
    </w:p>
    <w:p w14:paraId="1769140A">
      <w:pPr>
        <w:spacing w:line="640" w:lineRule="atLeast"/>
        <w:ind w:firstLine="378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日      期：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日</w:t>
      </w:r>
    </w:p>
    <w:p w14:paraId="255BD8D7">
      <w:pPr>
        <w:spacing w:line="640" w:lineRule="atLeast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</w:p>
    <w:p w14:paraId="6CBFE65F">
      <w:pPr>
        <w:spacing w:line="640" w:lineRule="atLeast"/>
        <w:ind w:firstLine="56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附：法定代表人及委托代理人身份证复印件</w:t>
      </w:r>
    </w:p>
    <w:p w14:paraId="49A97D3D">
      <w:pPr>
        <w:spacing w:line="360" w:lineRule="auto"/>
        <w:jc w:val="center"/>
        <w:rPr>
          <w:rFonts w:hint="eastAsia" w:ascii="宋体" w:hAnsi="宋体" w:eastAsia="宋体" w:cs="宋体"/>
          <w:sz w:val="30"/>
          <w:highlight w:val="none"/>
        </w:rPr>
      </w:pPr>
    </w:p>
    <w:p w14:paraId="29CD38CA">
      <w:pPr>
        <w:jc w:val="center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30"/>
          <w:highlight w:val="none"/>
        </w:rPr>
        <w:br w:type="page"/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法定代表人身份证复印件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F6F2A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0AB1F92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3AC2BCAB">
            <w:pPr>
              <w:jc w:val="center"/>
              <w:rPr>
                <w:rFonts w:hint="eastAsia" w:ascii="宋体" w:hAnsi="宋体" w:eastAsia="宋体" w:cs="宋体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5A23DD2C">
      <w:pPr>
        <w:jc w:val="center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</w:p>
    <w:p w14:paraId="299669B4">
      <w:pPr>
        <w:jc w:val="center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委托代理人身份证复印件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1FC18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135F2B1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255DBD4B">
            <w:pPr>
              <w:jc w:val="center"/>
              <w:rPr>
                <w:rFonts w:hint="eastAsia" w:ascii="宋体" w:hAnsi="宋体" w:eastAsia="宋体" w:cs="宋体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3717CAC8">
      <w:pPr>
        <w:pStyle w:val="5"/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</w:pPr>
    </w:p>
    <w:p w14:paraId="602D85E9">
      <w:pPr>
        <w:pStyle w:val="5"/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</w:pPr>
    </w:p>
    <w:p w14:paraId="6A93DA8F">
      <w:pPr>
        <w:pStyle w:val="5"/>
        <w:rPr>
          <w:rFonts w:hint="eastAsia"/>
          <w:b/>
          <w:color w:val="auto"/>
          <w:sz w:val="24"/>
          <w:szCs w:val="24"/>
          <w:highlight w:val="none"/>
        </w:rPr>
      </w:pPr>
    </w:p>
    <w:p w14:paraId="771B68A5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13BFEBE4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4DDD9218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51BA53BF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0AF251EC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03A1237F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70376877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3594934C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029DC54F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09B76D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3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</w:rPr>
  </w:style>
  <w:style w:type="paragraph" w:customStyle="1" w:styleId="5">
    <w:name w:val="正文缩进两字符"/>
    <w:basedOn w:val="1"/>
    <w:qFormat/>
    <w:uiPriority w:val="0"/>
    <w:pPr>
      <w:spacing w:line="280" w:lineRule="exact"/>
      <w:ind w:firstLine="200" w:firstLineChars="200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2026-03-04T05:33:28Z</dcterms:created>
  <dc:creator>lpf</dc:creator>
  <cp:lastModifiedBy>李怀生</cp:lastModifiedBy>
  <dcterms:modified xsi:type="dcterms:W3CDTF">2026-03-04T05:34:25Z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eyJoZGlkIjoiMWNjNmMyNTcwZGMzMmIyNWY5YWY4Y2YxYTY0OTBhM2EiLCJ1c2VySWQiOiI5OTE0NzczNTQifQ==</vt:lpwstr>
  </property>
  <property fmtid="{D5CDD505-2E9C-101B-9397-08002B2CF9AE}" pid="4" name="ICV">
    <vt:lpwstr>F5254E9535F44F429EFFB124A40C157F_12</vt:lpwstr>
  </property>
</Properties>
</file>